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BD" w:rsidRDefault="00185534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DE CREDENCIAMENTO </w:t>
      </w:r>
      <w:r w:rsidR="00A847EF">
        <w:rPr>
          <w:rFonts w:ascii="Arial" w:eastAsia="Arial" w:hAnsi="Arial" w:cs="Arial"/>
          <w:b/>
          <w:sz w:val="24"/>
          <w:szCs w:val="24"/>
        </w:rPr>
        <w:t xml:space="preserve">–REPUBLICAÇÃO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Nº 02/2022 - FMS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município de Laguna, por intermédio do Fundo Municipal de Saúde de Laguna, torna público que se encontra aberto o EDITAL DE CREDENCIAMENTO nº 02/2022 - FMS, para a contratação de pessoas jurídicas que prestam </w:t>
      </w:r>
      <w:r>
        <w:rPr>
          <w:rFonts w:ascii="Arial" w:eastAsia="Arial" w:hAnsi="Arial" w:cs="Arial"/>
          <w:sz w:val="24"/>
          <w:szCs w:val="24"/>
        </w:rPr>
        <w:t>serviços de saúde na coleta, análise e distribuição de resultados de exames laboratoriais constantes na Tabela de Procedimentos, de acordo com as diretrizes do SUS, sendo regido este procedimento pela Lei 8.666/93, suas alterações e demais normas pertinent</w:t>
      </w:r>
      <w:r>
        <w:rPr>
          <w:rFonts w:ascii="Arial" w:eastAsia="Arial" w:hAnsi="Arial" w:cs="Arial"/>
          <w:sz w:val="24"/>
          <w:szCs w:val="24"/>
        </w:rPr>
        <w:t>es.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Os interessados deverão apresentar a documentação de credenciamento exigida em envelopes fechados dirigidos ao Departamento de Licitação de Laguna, localizada na Avenida Colombo Machado Salles, 145 – Centro, Laguna, 3º andar, até o dia </w:t>
      </w: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16 de setembro d</w:t>
      </w:r>
      <w:r>
        <w:rPr>
          <w:rFonts w:ascii="Arial" w:eastAsia="Arial" w:hAnsi="Arial" w:cs="Arial"/>
          <w:b/>
          <w:sz w:val="24"/>
          <w:szCs w:val="24"/>
        </w:rPr>
        <w:t>e 2022, às 19 horas.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 dia </w:t>
      </w: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22 de setembro</w:t>
      </w:r>
      <w:r>
        <w:rPr>
          <w:rFonts w:ascii="Arial" w:eastAsia="Arial" w:hAnsi="Arial" w:cs="Arial"/>
          <w:b/>
          <w:sz w:val="24"/>
          <w:szCs w:val="24"/>
        </w:rPr>
        <w:t xml:space="preserve"> de 2022, às 14 horas, na sala de reuniões localizada na Avenida Colombo Machado Salles, 145 – Centro, Laguna, 2º andar, será realizada a sessão de distribuição das quantidades e firmado então o contrato.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ausênci</w:t>
      </w:r>
      <w:r>
        <w:rPr>
          <w:rFonts w:ascii="Arial" w:eastAsia="Arial" w:hAnsi="Arial" w:cs="Arial"/>
          <w:b/>
          <w:sz w:val="24"/>
          <w:szCs w:val="24"/>
        </w:rPr>
        <w:t>a da empresa credenciada na sessão supracitada acarretará a aceitação tácita da quantidade final, pois na possibilidade de duas empresas ou mais se credenciarem no mesmo procedimento, a cota será dividida em partes iguais, respeitando o princípio da isonom</w:t>
      </w:r>
      <w:r>
        <w:rPr>
          <w:rFonts w:ascii="Arial" w:eastAsia="Arial" w:hAnsi="Arial" w:cs="Arial"/>
          <w:b/>
          <w:sz w:val="24"/>
          <w:szCs w:val="24"/>
        </w:rPr>
        <w:t>ia.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1 - OBJETO DO CREDENCIAMENTO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1.1 - O presente credenciamento tem por objeto a contratação de laboratórios e postos de coleta que prestam serviços de saúde na coleta, análise e distribuição de resultados de exames laboratoriais constantes na Tabela de P</w:t>
      </w:r>
      <w:r>
        <w:rPr>
          <w:rFonts w:ascii="Arial" w:eastAsia="Arial" w:hAnsi="Arial" w:cs="Arial"/>
          <w:sz w:val="24"/>
          <w:szCs w:val="24"/>
        </w:rPr>
        <w:t>rocedimentos, de acordo com as diretrizes do SUS, RDC nº 302 e suas atualizações, com fulcro no caput do art. 25 da Lei Federal n.º 8.666/93, suas alterações e demais normas pertinentes.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2 - CONDIÇÕES DE PARTICIPAÇÃO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2.1 - Poderão participar deste Credenci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amento pessoas jurídicas que prestem os serviços de coleta e distribuição que tenham sede no município de Laguna – SC, bem como pessoas jurídicas que prestem os serviços de coleta, análise e distribuição com sede em Laguna – SC, em que ambos os casos atend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am às condições exigidas do objeto deste credenciamento, comprovando os requisitos necessários às qualificações especificados no Item 3 e demais condições estabelecidas neste Edital.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2.2 - Os interessados deverão proceder, antes da entrega da documentação,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à verificação minuciosa de todos os elementos fornecidos e, em caso de dúvida, solicitar esclarecimentos, via protocolo on-line, na opção “Protocolos”, disponível no seguinte sítio: https://laguna.1doc.com.br/atendimento.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2.3 - A não comunicação na forma </w:t>
      </w:r>
      <w:r>
        <w:rPr>
          <w:rFonts w:ascii="Arial" w:eastAsia="Arial" w:hAnsi="Arial" w:cs="Arial"/>
          <w:sz w:val="24"/>
          <w:szCs w:val="24"/>
        </w:rPr>
        <w:t>acima estabelecida, implicará a tácita aceitação dos elementos fornecidos, não cabendo, em nenhuma hipótese, qualquer reivindicação posterior com base em imperfeições, incorreções, omissões ou falhas.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2.4 - Não poderão participar, direta ou indiretamente, </w:t>
      </w:r>
      <w:r>
        <w:rPr>
          <w:rFonts w:ascii="Arial" w:eastAsia="Arial" w:hAnsi="Arial" w:cs="Arial"/>
          <w:sz w:val="24"/>
          <w:szCs w:val="24"/>
        </w:rPr>
        <w:t>deste credenciamento: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2.4.1 - Pessoas jurídicas que estejam cumprindo pena de suspensão de licitar com o Município ou qualquer de seus Entes da Administração Indireta ou tenham sido declaradas inidôneas pela Administração Pública;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2.4.2 - Empresas apresent</w:t>
      </w:r>
      <w:r>
        <w:rPr>
          <w:rFonts w:ascii="Arial" w:eastAsia="Arial" w:hAnsi="Arial" w:cs="Arial"/>
          <w:sz w:val="24"/>
          <w:szCs w:val="24"/>
        </w:rPr>
        <w:t>adas na qualidade de subcontratadas;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2.4.3 - Empresas em regime de consórcio, qualquer que seja sua forma de constituição;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2.4.4 - Empresas que tenham sócios, gerentes ou responsáveis técnicos que sejam servidores ou dirigentes de Órgão ou Entidade da Admi</w:t>
      </w:r>
      <w:r>
        <w:rPr>
          <w:rFonts w:ascii="Arial" w:eastAsia="Arial" w:hAnsi="Arial" w:cs="Arial"/>
          <w:sz w:val="24"/>
          <w:szCs w:val="24"/>
        </w:rPr>
        <w:t>nistração Municipal ou que estejam cumprindo a penalidade aludida no item 2.4.1;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2.4.5 - Empresas que se encontrem sob falência, concordata, dissolução e liquidação;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2.4.6 - Empresas que não possuam as exigências contidas neste Edital.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3 - FORMA DE APRESEN</w:t>
      </w:r>
      <w:r>
        <w:rPr>
          <w:rFonts w:ascii="Arial" w:eastAsia="Arial" w:hAnsi="Arial" w:cs="Arial"/>
          <w:b/>
          <w:sz w:val="24"/>
          <w:szCs w:val="24"/>
        </w:rPr>
        <w:t>TAÇÃO DOS DOCUMENTOS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3.1 - Os interessados em se credenciar com o Fundo Municipal de Saúde de Laguna deverão apresentar toda a documentação autenticada em um envelope lacrado, identificando na parte externa a razão social, endereço e telefone de contato, o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u se preferirem, deverão apresentar em um envelope toda a documentação original e suas respectivas cópias para autenticação junto ao departamento de licitação, o qual devolverá os originais após análise, identificando também na parte externa do envelope a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razão social, endereço e telefone para contato.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3.2 - Para fins de credenciamento de pessoa jurídica, a documentação exigida consiste em: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3.2.1 - Registro Comercial, no caso de firma individual;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3.2.2 - Ato constitutivo, estatuto ou contrato social em vigo</w:t>
      </w:r>
      <w:r>
        <w:rPr>
          <w:rFonts w:ascii="Arial" w:eastAsia="Arial" w:hAnsi="Arial" w:cs="Arial"/>
          <w:sz w:val="24"/>
          <w:szCs w:val="24"/>
        </w:rPr>
        <w:t>r, devidamente registrado, em se tratando de sociedades comerciais. No caso de sociedade por ações, acompanhado de documento de eleição de seus atuais administradores;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3.2.3 - Decreto de autorização, em se tratando de empresa ou sociedade estrangeira em fu</w:t>
      </w:r>
      <w:r>
        <w:rPr>
          <w:rFonts w:ascii="Arial" w:eastAsia="Arial" w:hAnsi="Arial" w:cs="Arial"/>
          <w:sz w:val="24"/>
          <w:szCs w:val="24"/>
        </w:rPr>
        <w:t>ncionamento no país, e ato de registro ou autorização para funcionamento, expedido pelo órgão competente, quando a atividade assim o exigir;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3.2.4 - Prova de inscrição no Cadastro Nacional de Pessoa Jurídica (CNPJ) no Ministério da Fazenda;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3.2.5 - Prova d</w:t>
      </w:r>
      <w:r>
        <w:rPr>
          <w:rFonts w:ascii="Arial" w:eastAsia="Arial" w:hAnsi="Arial" w:cs="Arial"/>
          <w:sz w:val="24"/>
          <w:szCs w:val="24"/>
        </w:rPr>
        <w:t>e regularidade com a Fazenda Federal do domicílio ou sede da empresa interessada, através da Certidão Conjunta de Débitos Federais;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3.2.6 - Prova de Regularidade com a Fazenda Estadual do domicílio ou sede da empresa interessada, quando for o caso;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3.2.7 -</w:t>
      </w:r>
      <w:r>
        <w:rPr>
          <w:rFonts w:ascii="Arial" w:eastAsia="Arial" w:hAnsi="Arial" w:cs="Arial"/>
          <w:sz w:val="24"/>
          <w:szCs w:val="24"/>
        </w:rPr>
        <w:t xml:space="preserve"> Prova de Regularidade com a Fazenda Municipal, através de Certidão de Quitação de Débitos Municipais;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3.2.8 - Certidão de regularidade com o Fundo de Garantia por Tempo de Serviço (FGTS), fornecida pela Caixa Econômica Federal, de acordo com o art. 27, “a</w:t>
      </w:r>
      <w:r>
        <w:rPr>
          <w:rFonts w:ascii="Arial" w:eastAsia="Arial" w:hAnsi="Arial" w:cs="Arial"/>
          <w:sz w:val="24"/>
          <w:szCs w:val="24"/>
        </w:rPr>
        <w:t>”, da Lei Federal nº 8.036 de 11/05/1990;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3.2.9 - Prova de inexistência de débitos inadimplidos perante a Justiça do Trabalho, mediante a apresentação de Certidão Negativa de Débitos Trabalhistas (CNDT);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3.3.10 - Certidão Negativa de Falência ou Concordata</w:t>
      </w:r>
      <w:r>
        <w:rPr>
          <w:rFonts w:ascii="Arial" w:eastAsia="Arial" w:hAnsi="Arial" w:cs="Arial"/>
          <w:sz w:val="24"/>
          <w:szCs w:val="24"/>
        </w:rPr>
        <w:t>, expedida tanto pelo sistema E-Proc, quanto pelo sistema e-SAJ do Poder Judiciário de Santa Catarina;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3.3.11 - Declaração de concordância com os termos do edital e valores a serem pagos pelos serviços;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3.3.12 - Cópia do Alvará de Funcionamento;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3.3.13 - C</w:t>
      </w:r>
      <w:r>
        <w:rPr>
          <w:rFonts w:ascii="Arial" w:eastAsia="Arial" w:hAnsi="Arial" w:cs="Arial"/>
          <w:sz w:val="24"/>
          <w:szCs w:val="24"/>
        </w:rPr>
        <w:t>ópia do Alvará da Vigilância Sanitária;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3.3.14 - Comprovar a Inscrição no Cadastro Nacional de Estabelecimentos de Saúde – CNES;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3.3.15 - Certificado de registro da entidade no respectivo órgão de classe ou Certidão de Regularidade Financeira emitida pelo </w:t>
      </w:r>
      <w:r>
        <w:rPr>
          <w:rFonts w:ascii="Arial" w:eastAsia="Arial" w:hAnsi="Arial" w:cs="Arial"/>
          <w:sz w:val="24"/>
          <w:szCs w:val="24"/>
        </w:rPr>
        <w:t>respectivo órgão de classe, atualizado;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3.3.16 - Certificado de Especialidade Médica devidamente reconhecido pela respectiva entidade de classe, RG e CPF do responsável técnico pelo serviço a ser contratado e/ou Certificado de Conclusão de Pós-Graduação Mé</w:t>
      </w:r>
      <w:r>
        <w:rPr>
          <w:rFonts w:ascii="Arial" w:eastAsia="Arial" w:hAnsi="Arial" w:cs="Arial"/>
          <w:sz w:val="24"/>
          <w:szCs w:val="24"/>
        </w:rPr>
        <w:t>dica com formação na área do objeto pretendido reconhecido por Instituição de Ensino competente.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4 - FORMA DE RECEBIMENTO E APRECIAÇÃO DOS DOCUMENTOS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4.1 - Qualquer interessado deverá apresentar a documentação de credenciamento exigida em envelopes fechado</w:t>
      </w:r>
      <w:r>
        <w:rPr>
          <w:rFonts w:ascii="Arial" w:eastAsia="Arial" w:hAnsi="Arial" w:cs="Arial"/>
          <w:sz w:val="24"/>
          <w:szCs w:val="24"/>
        </w:rPr>
        <w:t>s dirigidos ao Departamento de Compras e Licitações da Prefeitura Municipal de Laguna enquanto o credenciamento estiver vigente, contendo a documentação listada no Item 3 deste Edital.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4.2 - A análise e o julgamento serão efetuados pelos membros da COPELI </w:t>
      </w:r>
      <w:r>
        <w:rPr>
          <w:rFonts w:ascii="Arial" w:eastAsia="Arial" w:hAnsi="Arial" w:cs="Arial"/>
          <w:sz w:val="24"/>
          <w:szCs w:val="24"/>
        </w:rPr>
        <w:t>- Comissão Permanente de Licitação do Município de Laguna, nos termos da Lei e deste Edital, em reunião interna.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4.3 - Deferido o credenciamento, o interessado será convocado, na forma do item 5.1 deste Edital, para assinar o respectivo Contrato de Credenc</w:t>
      </w:r>
      <w:r>
        <w:rPr>
          <w:rFonts w:ascii="Arial" w:eastAsia="Arial" w:hAnsi="Arial" w:cs="Arial"/>
          <w:sz w:val="24"/>
          <w:szCs w:val="24"/>
        </w:rPr>
        <w:t>iamento, de acordo com a minuta constante do Anexo II.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4.4 - Dos atos relativos a este credenciamento cabem os recursos previstos no Art. 109 da Lei Federal nº 8.666/93 e suas alterações e demais normas pertinentes.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4.5 - Será credenciado o interessado que</w:t>
      </w:r>
      <w:r>
        <w:rPr>
          <w:rFonts w:ascii="Arial" w:eastAsia="Arial" w:hAnsi="Arial" w:cs="Arial"/>
          <w:sz w:val="24"/>
          <w:szCs w:val="24"/>
        </w:rPr>
        <w:t xml:space="preserve"> atender às exigências do presente Edital, ficando a Administração autorizada a contratá-lo para prestação do serviço objeto deste credenciamento.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5 - PRAZO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5.1 - O prazo máximo para a assinatura do Contrato de Credenciamento é de 05 (cinco) dias úteis, a </w:t>
      </w:r>
      <w:r>
        <w:rPr>
          <w:rFonts w:ascii="Arial" w:eastAsia="Arial" w:hAnsi="Arial" w:cs="Arial"/>
          <w:sz w:val="24"/>
          <w:szCs w:val="24"/>
        </w:rPr>
        <w:t>contar da data da homologação do processo, prorrogável pelo mesmo prazo, em despacho motivado da autoridade competente.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5.2 - O prazo de execução dos serviços objeto deste credenciamento é de 12 meses, contados da assinatura do Contrato de Credenciamento, </w:t>
      </w:r>
      <w:r>
        <w:rPr>
          <w:rFonts w:ascii="Arial" w:eastAsia="Arial" w:hAnsi="Arial" w:cs="Arial"/>
          <w:sz w:val="24"/>
          <w:szCs w:val="24"/>
        </w:rPr>
        <w:t>podendo ser prorrogado, conforme necessidade da Administração Pública, que verificará o interesse junto ao credenciado.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6 – DOTAÇÃO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6.1 - Para o custeio da execução dos serviços objeto deste termo, serão utilizados recursos consignados na Lei Orçamentária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do Município de Laguna, à conta do Fundo Municipal de Saúde, nas seguintes dotações: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19 - Fundo Municipal de Saúde  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01 - Fundo Municipal de Saúde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Proj/Ativ 2710 - Media e Alta Complexidade Ambulatorial e Hospitalar/FAEC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32 - 3.3.90.00.00.00.00.00.00.01.01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01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33 - 3.3.90.00.00.00.00.00.00.01.0002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7 – EXECUÇÃO DO SERVIÇO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7.1 - Os credenciados deverão disponibilizar aos usuários a realização de todos os exames constantes neste edital.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lastRenderedPageBreak/>
        <w:t>7.2 - O credenciado prestará os serviços objeto deste credenciamento em suas dependências e instalações médicas, salvo aqueles exames que necessitarem de apoio na análise.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7.3 - O credenciado deverá atender os usuários encaminhados pela Secretaria Municipa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l de Saúde em todos os dias úteis do ano, por no mínimo 08 (oito) horas diárias, devendo cumprir essa jornada a partir das 7:00 horas até as 19:00 horas.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7.4 - Os serviços somente deverão ser prestados aos usuários mediante autorização prévia da Secretaria</w:t>
      </w:r>
      <w:r>
        <w:rPr>
          <w:rFonts w:ascii="Arial" w:eastAsia="Arial" w:hAnsi="Arial" w:cs="Arial"/>
          <w:sz w:val="24"/>
          <w:szCs w:val="24"/>
        </w:rPr>
        <w:t xml:space="preserve"> Municipal de Saúde, devendo o usuário apresentar documento de identificação, cartão nacional do SUS e guia de autorização, por meio do SISREG, emitida pela Secretaria Municipal de Saúde.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7.5 - Os prestadores deverão fornecer os resultados de exames em for</w:t>
      </w:r>
      <w:r>
        <w:rPr>
          <w:rFonts w:ascii="Arial" w:eastAsia="Arial" w:hAnsi="Arial" w:cs="Arial"/>
          <w:sz w:val="24"/>
          <w:szCs w:val="24"/>
        </w:rPr>
        <w:t>mulário próprio, entregue tanto nas Unidades de Saúde onde o usuário foi atendido, quanto diretamente ao usuário na sede do prestador, ou ainda, por meio eletrônico, de acordo com a conveniência da Secretaria Municipal de Saúde, observando, em todos os cas</w:t>
      </w:r>
      <w:r>
        <w:rPr>
          <w:rFonts w:ascii="Arial" w:eastAsia="Arial" w:hAnsi="Arial" w:cs="Arial"/>
          <w:sz w:val="24"/>
          <w:szCs w:val="24"/>
        </w:rPr>
        <w:t>os, todas as garantias referentes à privacidade e segurança das informações.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7.6 - Após a realização do serviço objeto deste credenciamento, o credenciado solicitará ao usuário ou seu representante que ateste a prestação do serviço na própria guia de autor</w:t>
      </w:r>
      <w:r>
        <w:rPr>
          <w:rFonts w:ascii="Arial" w:eastAsia="Arial" w:hAnsi="Arial" w:cs="Arial"/>
          <w:sz w:val="24"/>
          <w:szCs w:val="24"/>
        </w:rPr>
        <w:t>ização emitida pela Secretaria Municipal de Saúde.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7.7 - Fica proibida a realização de exames/procedimentos não constantes neste Edital.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 – VALOR E PAGAMENTO</w:t>
      </w:r>
    </w:p>
    <w:p w:rsidR="00812ABD" w:rsidRDefault="00185534">
      <w:pPr>
        <w:pStyle w:val="LO-normal1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8.1 - Para atender às diretrizes do SUS, a Secretaria de Saúde de Laguna, identificando a </w:t>
      </w:r>
      <w:r>
        <w:rPr>
          <w:rFonts w:ascii="Arial" w:eastAsia="Arial" w:hAnsi="Arial" w:cs="Arial"/>
          <w:sz w:val="24"/>
          <w:szCs w:val="24"/>
        </w:rPr>
        <w:t>existência de demanda para os mais diversos tipos de ações e procedimentos de saúde, promoveu importante incremento financeiro à Tabela de Procedimentos, Medicamentos, Órteses e Próteses e Materiais Especiais (OPM) disponível através do SIGTAP – Sistema de</w:t>
      </w:r>
      <w:r>
        <w:rPr>
          <w:rFonts w:ascii="Arial" w:eastAsia="Arial" w:hAnsi="Arial" w:cs="Arial"/>
          <w:sz w:val="24"/>
          <w:szCs w:val="24"/>
        </w:rPr>
        <w:t xml:space="preserve"> Gerenciamento da Tabela de Procedimentos do Sistema Único de Saúde – SUS nos níveis de serviço em saúde neste Edital de Credenciamento, tendo a aprovação formal dos valores pelo Conselho Municipal de Saúde, justificados pela depreciação dos valores pagos </w:t>
      </w:r>
      <w:r>
        <w:rPr>
          <w:rFonts w:ascii="Arial" w:eastAsia="Arial" w:hAnsi="Arial" w:cs="Arial"/>
          <w:sz w:val="24"/>
          <w:szCs w:val="24"/>
        </w:rPr>
        <w:t>conforme a tabela SUS nos últimos anos, garantindo a ampliação da oferta de vagas na rede própria e das instituições a ela credenciadas.</w:t>
      </w:r>
    </w:p>
    <w:p w:rsidR="00812ABD" w:rsidRDefault="00185534">
      <w:pPr>
        <w:pStyle w:val="LO-normal1"/>
        <w:spacing w:before="24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8.2 - O Fundo Municipal de Saúde de Laguna pagará pelos exames os valores que constam da tabela abaixo:</w:t>
      </w:r>
    </w:p>
    <w:p w:rsidR="00812ABD" w:rsidRDefault="00812ABD">
      <w:pPr>
        <w:pStyle w:val="LO-normal1"/>
        <w:spacing w:before="24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812ABD" w:rsidRDefault="00812ABD">
      <w:pPr>
        <w:pStyle w:val="LO-normal1"/>
        <w:spacing w:before="24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tbl>
      <w:tblPr>
        <w:tblW w:w="10364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35"/>
        <w:gridCol w:w="1590"/>
        <w:gridCol w:w="2160"/>
        <w:gridCol w:w="1186"/>
        <w:gridCol w:w="1304"/>
        <w:gridCol w:w="1636"/>
        <w:gridCol w:w="1753"/>
      </w:tblGrid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ITEM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CÓDIGO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ESCRIÇÃO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QUANTI-DADE ANUAL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VALOR SUS UNITÁRIO (R$)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VALOR COMPLEMEN-TAR UNITÁRIO (R$)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TOTAL ANUAL (R$)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02.02.01.002-3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capacidade de fixação do ferro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14,99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02.02.01.004-0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curva glicêmica (2 dosagens)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3,63</w:t>
            </w:r>
          </w:p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20,37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12099,78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ácido úrico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3385,50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02.02.01.013-9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ácido vanilmandelico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02.02.01.014-7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aldolase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02.02.01.016-3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alfa-1-glicoproteina ácida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10,32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amilase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02.02.01.020-1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bilirrubina total e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frações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1869,30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02.02.01.021-0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cálcio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before="20" w:after="240"/>
              <w:ind w:right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2097,90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02.02.01.022-8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cálcio ionizável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before="20" w:after="240"/>
              <w:ind w:right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10,49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2436,00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02.02.01.026-0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cloreto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02.02.01.027-9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colesterol HDL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12528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43973,28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02.02.01.028-7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colesterol LDL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12804,48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02.02.01.029-5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colesterol total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14676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27150,60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02.02.01.031-7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creatinina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13734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25407,90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02.02.01.032-5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creatinofosfoquinase (CPK)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3267,84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02.02.01.033-3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creatinofosfoquinase fração Mb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23,88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desidrogenase alfa-hidroxibutírica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21,06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02.02.01.036-8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desidrogenase lática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662,40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02.02.01.038-4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ferritina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15,59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26378,28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02.02.01.039-2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ferro sérico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3706,56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02.02.01.040-6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folato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7324,20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fosfatase ácida total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10,99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02.02.01.042-2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fosfatase alcalina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1652,22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fósforo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499,50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02.02.01.046-5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gama-glutamil- transferase (Gama GT)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3896,10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02.02.01.047-3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glicose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16794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31068,90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02.02.01.048-1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glicose-6-fosfato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desidrogenage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12,32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02.02.01.050-3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hemoglobina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glicosilada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7170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7,86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56356,20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02.02.01.051-1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hidroxiprolina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02.02.01.055-4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lipase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02.02.01.056-2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magnésio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771,84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muco-proteínas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14,99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potássio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6704,40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02.02.01.061-9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proteínas totais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1,40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02.02.01.062-7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proteínas totais e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frações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643,80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02.02.01.063-5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sódio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3740,70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02.02.01.064-3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transaminase glutamico- oxalacetica (TGO)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18355,32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02.02.01.065-1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transaminase glutamico-piruvica (TGP)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15762,42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02.02.01.066-0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transferrina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02.02.01.067-8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triglicerídeos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48817,08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02.02.01.069-4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ureia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8336,10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02.02.01.070-8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Vitamina B12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6744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15,24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102778,56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44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02.02.01.071-6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Eletroforese de lipoproteínas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02.02.01.072-4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Eletroforese de proteínas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4,42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503,88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02.02.01.076-7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25 hidroxivitamina D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7776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15,24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118506,24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02.02.02.002-9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Contagem de plaquetas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18570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50696,10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02.02.02.003-7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Contagem de reticulócitos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14,27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02.02.02.007-0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coagulação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180,18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02.02.02.009-6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sangramento-Duke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49,14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Sangramento de Ivy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02.02.02.012-6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trombina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02.02.02.013-4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tromboplastina parcial ativada (TTP ativada)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5,77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5331,48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02.02.02.014-2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e atividade da protrombina (TAP)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15,27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36504,00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02.02.02.015-0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velocidade de hemossedimentação (VHS)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4357,08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02.02.02.030-4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hemoglobina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hemoglobina fetal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16,38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02.02.02.035-5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Eletroforese de hemoglobina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5,41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1395,78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02.02.02.036-3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Eritrograma (eritrócitos, hemoglobina, hematócrito)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32,76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02.02.02.037-1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Hematócrito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27,54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Hemograma completo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18834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4,11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77407,74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02.02.02.039-8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Leucograma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16,38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02.02.02.044-4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hemoglobina 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14,27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02.02.02.049-5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Prova de retração do coágulo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32,76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02.02.02.050-9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Prova do laço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16,38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02.02.02.054-1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direto de antiglobulina humana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(TAD)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32,76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02.02.03.002-4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Contagens de linfócitos CD4/CD8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02.02.03.007-5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fator reumatoide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1528,20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02.02.03.008-3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quantitativa de proteína C reativa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10,75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02.02.03.009-1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alfa-fetoproteína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15,06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8,94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02.02.03.010-5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antígeno prostático específico (PSA)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16,42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42265,08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72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02.02.03.011-3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beta-2-microglobulina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02.02.03.012-1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complemento C3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complemento C4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2070,00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02.02.03.015-6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imunoglobulina a (IGA)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02.02.03.016-4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imunoglobulina e (IGE)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2109,00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imunoglobulina m (IGM)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02.02.03.020-2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proteína C reativa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2733,78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02.02.03.030-0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anti-HIV-1 + HIV-2 (ELISA)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02.02.03.034-2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anti-sm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02.02.03.035-0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anti-SS-A (RO)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02.02.03.036-9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anti-SS-B (LA)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02.02.03.045-8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Antiescleroderma (SCL70)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02.02.03.047-4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anticorpos antiestreptolisina o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(ASLO)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220,74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02.02.03.055-5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antimicrossomas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3312,00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02.02.03.056-3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antimitocondria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02.02.03.058-0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antimúsculo Liso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02.02.03.059-8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antinúcleo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9575,28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02.02.03.060-1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antiparietais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02.02.03.062-8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antitireoglobulina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2484,00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02.02.03.063-6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contra antígeno de superfície do vírus da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Hepatite B (anti-HBS)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02.02.03.064-4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anticorpos contra antígeno e do vírus da hepatite B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(anti-HBE)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779,10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02.02.03.067-9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contra o vírus da hepatite C (anti-HCV)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13578,60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02.02.03.068-7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anticorpos contra o vírus da hepatite D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(anti-HDV)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222,60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95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02.02.03.074-1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anticitomegalovírus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02.02.03.076-8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antitoxoplasma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16,97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15782,10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02.02.03.078-4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anticorpos IgG e IgM contra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antígeno central do vírus da hepatite B (anti-HBC-total)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02.02.03.080-6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da hepatite A (HAV-IgG)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445,20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da rubéola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205,92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02.02.03.082-2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da varicela-herpes zoster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Epstein-Barr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02.02.03.084-9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anticorpos IgG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contra o vírus herpes simples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02.02.03.085-7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anticitomegalovirus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11,61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2298,78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02.02.03.087-3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antitoxoplasma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17251,50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02.02.03.089-0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anticorpos IgM contra antígeno central do vírus da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Hepatite B (anti-HBC-IgM)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890,40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02.02.03.091-1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o vírus da hepatite A (HAV-IgG)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445,20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anticorpos IgM contra o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vírus da rubéola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205,92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02.02.03.093-8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o vírus da varicela-herpes Zoster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02.02.03.094-6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o vírus Epstein-Barr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02.02.03.095-4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o vírus herpes simples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02.02.03.096-2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antígeno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carcinoembrionario (CEA)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961,20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antígeno de superfície do vírus da hepatite B (HBSAG)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15248,10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02.02.03.098-9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antígeno e do vírus da hepatite B (HBEAG)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556,50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02.02.03.099-7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Detecção de clamídia e gonococo por biologia molecular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115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02.02.03.101-2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fator reumatoide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(Waaler-Rose)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4,10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270,60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02.02.03.103-9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imunoglobulina e (IGE) alergeno-específica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02.02.03.111-0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não treponêmico para detecção de sífilis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3871,44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02.02.03.112-8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Teste FTA-ABS IgG para diagnóstico da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sífilis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02.02.03.113-6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FTA-ABS IgM para diagnostico da sífilis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02.02.03.117-9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não treponêmico para detecção de sífilis em gestantes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1647,06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02.02.03.118-7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anticorpos antitransglutaminaise recombinante humano IGA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3116,40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02.02.03.119-5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da fração C1Q do complemento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02.02.03.120-9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troponina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02.02.03.121-7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do antígeno CA 125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320,40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gordura fecal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3,04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54,72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02.02.04.003-8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Exame coprológico funcional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3,04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28,96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127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02.02.04.004-6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Identificação de fragmentos de Helmintos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02.02.04.005-4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enterobius vermiculares (oxiurus oxiura)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02.02.04.006-2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eosinófilos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gordura fecal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02.02.04.008-9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larvas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02.02.04.009-7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leucócitos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29,70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leveduras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02.02.04.011-9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ovos de schistosomas (em fragmento de mucosa)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02.02.04.012-7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ovos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 cistos de parasitas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2999,70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02.02.04.013-5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rotavírus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19,75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02.02.04.014-3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sangue oculto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15,35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36924,00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02.02.04.015-1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substâncias redutoras nas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29,70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02.02.04.017-8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trofozoitas nas fezes (ameba)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02.02.05.001-7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Análise de caracteres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físicos, elementos e sedimento da urina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13872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3,70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51326,40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02.02.05.002-5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Clearance de creatinina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20,49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Clearance de ureia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21,06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02.02.05.008-4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citrato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24,12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02.02.05.009-2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microalbumina na urina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02.02.05.010-6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oxalato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20,32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02.02.05.011-4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proteínas (urina de 24 Horas)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17,96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02.02.05.013-0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Exame qualitativo de cálculos urinários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3,70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02.02.05.022-0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fenil-cetona na urina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02.02.05.024-6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 galactose na urina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3,36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20,16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02.02.05.030-0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proteínas urinarias (por eletroforese)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4,44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79,92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retenção de T3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12,54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29,46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02.02.06.003-9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T3 reverso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12,54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22,46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02.02.06.004-7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17-alfa-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Hidroxiprogesterona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10,20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19,80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02.02.06.005-5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17-cetosteroides totais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6,72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155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02.02.06.006-3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17-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hidroxicorticosteroides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6,72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02.02.06.007-1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ácido 5-hidroxi-indol-acético (serotonina)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6,72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adrenocorticotrófico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(ACTH)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02.02.06.009-8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aldosterona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11,89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14,11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02.02.06.011-0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androstenediona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14,47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02.02.06.012-8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calcitonia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14,38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22,62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02.02.06.013-6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cortisol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9,86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16,14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02.02.06.014-4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dehidroepiandrosterona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(DHEA)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14,75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02.02.06.015-2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dihidrotestoterona (DHT)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11,71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14,29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02.02.06.016-0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estradiol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10,15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16,85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9396,00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02.02.06.017-9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estriol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02.02.06.018-7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estrona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02.02.06.021-7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gonadotrofina coriônica humana (HCG, BETA HCG)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5557,80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02.02.06.022-5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hormônio de crescimento (HGH)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10,21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17,79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02.02.06.023-3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hormônio folículo-estimulante (FSH)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7,89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4260,60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hormônio luteinizante (LH)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8,97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2798,64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02.02.06.025-0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hormônio tireoestimulante (TSH)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8,96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121067,52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02.02.06.026-8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insulina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10,17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7,83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02.02.06.027-6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paratormônio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43,13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8280,96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02.02.06.028-4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peptídeo 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4,65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02.02.06.029-2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progesterona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10,22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981,12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02.02.06.030-6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prolactina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10,15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3532,20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02.02.06.032-2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somatomedina C (IGF1)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sulfato de hidroepiandrosterona (DHEAS)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13,11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11,89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02.02.06.034-9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testosterona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10,43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3441,90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02.02.06.035-7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testosterona livre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13,11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17,89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02.02.06.036-5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tireoglobulina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7,65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182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02.02.06.037-3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tiroxina (T4)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8,76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3574,08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02.02.06.038-1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tiroxina livre (T4 livre)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3804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11,60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44126,40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02.02.06.039-0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triiodotironina (T3)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8,71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2038,14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02.02.06.047-0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macroprolactina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12,15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02.02.07.005-0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ácido valpróico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7,35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3174,00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02.02.07.008-5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alumÍnio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27,50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02.02.07.010-7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anfetaminas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02.02.07.011-5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antidepressivos tricíclicos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02.02.07.013-1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benzodiazepinicos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13,48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80,88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02.02.07.015-8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carbamazepina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736,26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02.02.07.017-4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chumbo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52,98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02.02.07.018-2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ciclosporina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58,61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351,66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02.02.07.022-0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fenitoína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35,22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02.02.07.025-5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lítio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24,75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5670,00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02.02.07.035-2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zinco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6103,50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02.02.08.001-3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Antibiograma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4,98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18077,40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198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02.02.08.004-8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Baciloscopia direta para BAAR tuberculose (diagnóstica)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4,20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02.02.08.005-6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Baciloscopia direta para BAAR (hanseníase)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4,20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02.02.08.007-2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Bacterioscopia (GRAM)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1108,80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Cultura de bactérias para identificação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5,62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21985,44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02.02.08.011-0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Cultura para BAAR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5,63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02.02.08.014-5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Exame microbiológico a fresco (direto)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604,80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02.02.09.003-5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Citologia para clamídia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4,33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883,32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02.02.09.026-4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espermatozoides (após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vasectomia)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02.02.09.030-2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Prova do látex para pesquisa do fator reumatoide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11,34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02.02.12.002-3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direta e reversa de Grupo ABO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1,37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1167,24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02.02.12.008-2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fator RH (inclui D fraco)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1,37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1167,24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02.02.12.009-0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indireto de antiglobulina humana</w:t>
            </w:r>
          </w:p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(TIA)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524,16</w:t>
            </w:r>
          </w:p>
        </w:tc>
      </w:tr>
      <w:tr w:rsidR="00812ABD">
        <w:trPr>
          <w:jc w:val="center"/>
        </w:trPr>
        <w:tc>
          <w:tcPr>
            <w:tcW w:w="8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VALOR TOTAL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Liberation Sans" w:eastAsia="Arial" w:hAnsi="Liberation Sans" w:cs="Arial"/>
                <w:b/>
                <w:sz w:val="20"/>
                <w:szCs w:val="20"/>
                <w:highlight w:val="white"/>
              </w:rPr>
              <w:t>R$ 1.371.279,00</w:t>
            </w:r>
          </w:p>
        </w:tc>
      </w:tr>
    </w:tbl>
    <w:p w:rsidR="00812ABD" w:rsidRDefault="00812ABD"/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8.2 -</w:t>
      </w:r>
      <w:r>
        <w:rPr>
          <w:rFonts w:ascii="Arial" w:eastAsia="Arial" w:hAnsi="Arial" w:cs="Arial"/>
          <w:sz w:val="24"/>
          <w:szCs w:val="24"/>
        </w:rPr>
        <w:t xml:space="preserve"> A credenciada deverá apresentar ao Departamento de Controle e Avaliação da Secretaria Municipal de Saúde a Nota Fiscal/Fatura com o relatório detalhado dos serviços prestados, com as guias de autorização emitidas pela Secretaria Municipal de Saúde, devida</w:t>
      </w:r>
      <w:r>
        <w:rPr>
          <w:rFonts w:ascii="Arial" w:eastAsia="Arial" w:hAnsi="Arial" w:cs="Arial"/>
          <w:sz w:val="24"/>
          <w:szCs w:val="24"/>
        </w:rPr>
        <w:t>mente atestadas pelos usuários do serviço ou seus representantes, quando for o caso, até o 5º dia útil do mês subsequente ao da prestação do serviço. O Departamento supracitado atestará a nota fiscal e encaminhará até o 10º dia útil do mês subsequente ao S</w:t>
      </w:r>
      <w:r>
        <w:rPr>
          <w:rFonts w:ascii="Arial" w:eastAsia="Arial" w:hAnsi="Arial" w:cs="Arial"/>
          <w:sz w:val="24"/>
          <w:szCs w:val="24"/>
        </w:rPr>
        <w:t>etor de Contabilidade da Secretaria Municipal de Saúde para pagamento dos serviços efetuados.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8.3 - Em nenhum caso o credenciado poderá cobrar diretamente do usuário qualquer valor, independente do título e da razão, salvo as despesas sabidamente não cober</w:t>
      </w:r>
      <w:r>
        <w:rPr>
          <w:rFonts w:ascii="Arial" w:eastAsia="Arial" w:hAnsi="Arial" w:cs="Arial"/>
          <w:sz w:val="24"/>
          <w:szCs w:val="24"/>
        </w:rPr>
        <w:t>tas pela credenciante.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 – PENALIDADES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9.1 - O CONTRATADO ficará sujeito, em caso de inadimplemento de suas obrigações contratuais, às penalidades previstas na Lei Federal n.º 8.666/93, nos seus Artigos 86 e seguintes, suas alterações e demais normas perti</w:t>
      </w:r>
      <w:r>
        <w:rPr>
          <w:rFonts w:ascii="Arial" w:eastAsia="Arial" w:hAnsi="Arial" w:cs="Arial"/>
          <w:sz w:val="24"/>
          <w:szCs w:val="24"/>
        </w:rPr>
        <w:t>nentes, sem prejuízo da responsabilidade civil e criminal.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9.2 - </w:t>
      </w:r>
      <w:r>
        <w:rPr>
          <w:rFonts w:ascii="Arial" w:eastAsia="Arial" w:hAnsi="Arial" w:cs="Arial"/>
          <w:b/>
          <w:sz w:val="24"/>
          <w:szCs w:val="24"/>
        </w:rPr>
        <w:t>Será descredenciado, sem prejuízo das penalidades cabíveis, o credenciado que cobrar do paciente/usuário qualquer valor pelo fornecimento do serviço contratado.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10 - ACOMPANHAMENTO E FISCALIZ</w:t>
      </w:r>
      <w:r>
        <w:rPr>
          <w:rFonts w:ascii="Arial" w:eastAsia="Arial" w:hAnsi="Arial" w:cs="Arial"/>
          <w:b/>
          <w:sz w:val="24"/>
          <w:szCs w:val="24"/>
        </w:rPr>
        <w:t>AÇÃO DO FORNECIMENTO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10.1 - A Secretaria Municipal de Saúde de Laguna exercerá o acompanhamento dos serviços através de servidor devidamente designado pela Secretaria de Saúde, sem reduzir nem excluir a responsabilidade do CREDENCIADO.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10.2 - Fica reservad</w:t>
      </w:r>
      <w:r>
        <w:rPr>
          <w:rFonts w:ascii="Arial" w:eastAsia="Arial" w:hAnsi="Arial" w:cs="Arial"/>
          <w:sz w:val="24"/>
          <w:szCs w:val="24"/>
        </w:rPr>
        <w:t xml:space="preserve">o ao Fundo Municipal de Saúde de Laguna, o direito e a autoridade para resolver todos e quaisquer casos singulares, duvidosos ou omissos, não previstos no Termo de Credenciamento, no Edital, nas leis e demais normas, e em tudo mais que, de qualquer forma, </w:t>
      </w:r>
      <w:r>
        <w:rPr>
          <w:rFonts w:ascii="Arial" w:eastAsia="Arial" w:hAnsi="Arial" w:cs="Arial"/>
          <w:sz w:val="24"/>
          <w:szCs w:val="24"/>
        </w:rPr>
        <w:t>se relacione, direta ou indiretamente, com o fornecimento em questão.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10.3 - Compete especificamente à Secretaria de Saúde esclarecer prontamente as dúvidas que lhes sejam apresentadas pelo CREDENCIADO.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10.4 - Caberá ao departamento de Auditoria de Saúde p</w:t>
      </w:r>
      <w:r>
        <w:rPr>
          <w:rFonts w:ascii="Arial" w:eastAsia="Arial" w:hAnsi="Arial" w:cs="Arial"/>
          <w:sz w:val="24"/>
          <w:szCs w:val="24"/>
        </w:rPr>
        <w:t>romover o acompanhamento quanto à validade dos documentos apresentados pelo Credenciado, ficando este obrigado a apresentar os documentos atualizados, sob pena de ser descredenciado.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11 - DISPOSIÇÕES FINAIS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11.1 - Não será permitido o recebimento de docume</w:t>
      </w:r>
      <w:r>
        <w:rPr>
          <w:rFonts w:ascii="Arial" w:eastAsia="Arial" w:hAnsi="Arial" w:cs="Arial"/>
          <w:sz w:val="24"/>
          <w:szCs w:val="24"/>
        </w:rPr>
        <w:t>ntos por via postal.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11.2 - Os interessados obrigam-se a seguir a sistemática estabelecida neste Edital, no que tange à forma de apresentar a documentação exigida.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11.3 - A documentação exigida poderá ser anexada pelos interessados em cópia devidamente aut</w:t>
      </w:r>
      <w:r>
        <w:rPr>
          <w:rFonts w:ascii="Arial" w:eastAsia="Arial" w:hAnsi="Arial" w:cs="Arial"/>
          <w:sz w:val="24"/>
          <w:szCs w:val="24"/>
        </w:rPr>
        <w:t>enticada, ressalvado, porém, ao Setor de Licitações, o direito de impor a exibição de qualquer original, num prazo máximo de 48 (quarenta e oito) horas, como também, solicitar esclarecimentos que julgar necessário.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11.4 - O interessado deverá providenciar,</w:t>
      </w:r>
      <w:r>
        <w:rPr>
          <w:rFonts w:ascii="Arial" w:eastAsia="Arial" w:hAnsi="Arial" w:cs="Arial"/>
          <w:sz w:val="24"/>
          <w:szCs w:val="24"/>
        </w:rPr>
        <w:t xml:space="preserve"> às suas expensas, cópias dos elementos que venham a ser necessários, não só para o credenciamento e assinatura do Contrato de Credenciamento, como também, no decorrer do fornecimento.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11.5 - O interessado deverá responder por todos os ônus e obrigações co</w:t>
      </w:r>
      <w:r>
        <w:rPr>
          <w:rFonts w:ascii="Arial" w:eastAsia="Arial" w:hAnsi="Arial" w:cs="Arial"/>
          <w:sz w:val="24"/>
          <w:szCs w:val="24"/>
        </w:rPr>
        <w:t>ncernentes à legislação fiscal, social, tributária e trabalhista.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11.6 - Até a data de assinatura do Contrato de Credenciamento, poderá ser eliminada qualquer empresa que tenha apresentado documento ou declaração incorreta ou falsa, bem como aquela cuja si</w:t>
      </w:r>
      <w:r>
        <w:rPr>
          <w:rFonts w:ascii="Arial" w:eastAsia="Arial" w:hAnsi="Arial" w:cs="Arial"/>
          <w:sz w:val="24"/>
          <w:szCs w:val="24"/>
        </w:rPr>
        <w:t>tuação técnica ou econômico/financeira tenha se alterado após o início de processamento do cadastramento, prejudicando o seu julgamento.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11.7 - </w:t>
      </w:r>
      <w:r>
        <w:rPr>
          <w:rFonts w:ascii="Arial" w:eastAsia="Arial" w:hAnsi="Arial" w:cs="Arial"/>
          <w:b/>
          <w:sz w:val="24"/>
          <w:szCs w:val="24"/>
        </w:rPr>
        <w:t xml:space="preserve">Qualquer alteração no Cadastro Nacional de Pessoa Jurídica, bem como no contrato social da empresa, deverá ser </w:t>
      </w:r>
      <w:r>
        <w:rPr>
          <w:rFonts w:ascii="Arial" w:eastAsia="Arial" w:hAnsi="Arial" w:cs="Arial"/>
          <w:b/>
          <w:sz w:val="24"/>
          <w:szCs w:val="24"/>
        </w:rPr>
        <w:t>informado ao Departamento de Contratos e Convênios.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11.8 - O presente credenciamento poderá ser anulado a qualquer tempo, se verificada ilegalidade no processamento ou julgamento, ou revogado, a juízo da Administração Pública, por motivos de conveniência </w:t>
      </w:r>
      <w:r>
        <w:rPr>
          <w:rFonts w:ascii="Arial" w:eastAsia="Arial" w:hAnsi="Arial" w:cs="Arial"/>
          <w:sz w:val="24"/>
          <w:szCs w:val="24"/>
        </w:rPr>
        <w:t>ou oportunidade, mediante decisão fundamentada.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11.9 - Ainda como documentação complementar, no ato da assinatura, o interessado CREDENCIADO apresentará declaração expressa de que assumirá total e irrestrita responsabilidade por qualquer dano que venha a c</w:t>
      </w:r>
      <w:r>
        <w:rPr>
          <w:rFonts w:ascii="Arial" w:eastAsia="Arial" w:hAnsi="Arial" w:cs="Arial"/>
          <w:sz w:val="24"/>
          <w:szCs w:val="24"/>
        </w:rPr>
        <w:t>ausar ao Fundo Municipal de Saúde de Laguna ou a terceiros, por si, seus representantes ou prepostos, quando da execução do fornecimento contratado.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11.10 - Os recursos administrativos porventura interpostos pelos interessados, serão os previstos no art. 1</w:t>
      </w:r>
      <w:r>
        <w:rPr>
          <w:rFonts w:ascii="Arial" w:eastAsia="Arial" w:hAnsi="Arial" w:cs="Arial"/>
          <w:sz w:val="24"/>
          <w:szCs w:val="24"/>
        </w:rPr>
        <w:t>09, da Lei Federal n.º 8.666/93 e suas alterações e demais normas pertinentes.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11.11 - Quaisquer esclarecimentos e informações adicionais referentes ao presente credenciamento poderão ser obtidos junto à Secretaria Municipal de Saúde, via protocolo on-line</w:t>
      </w:r>
      <w:r>
        <w:rPr>
          <w:rFonts w:ascii="Arial" w:eastAsia="Arial" w:hAnsi="Arial" w:cs="Arial"/>
          <w:sz w:val="24"/>
          <w:szCs w:val="24"/>
        </w:rPr>
        <w:t>, na opção “Protocolos”, disponível no seguinte sítio: https://laguna.1doc.com.br/atendimento.</w:t>
      </w:r>
    </w:p>
    <w:p w:rsidR="00812ABD" w:rsidRDefault="00185534">
      <w:pPr>
        <w:pStyle w:val="LO-normal"/>
        <w:spacing w:before="24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Laguna,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18 de agosto de 2022.</w:t>
      </w:r>
    </w:p>
    <w:p w:rsidR="00812ABD" w:rsidRDefault="00812ABD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Gabrielle Siqueira da Cunha</w:t>
      </w:r>
    </w:p>
    <w:p w:rsidR="00812ABD" w:rsidRDefault="00185534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Secretária Municipal de Saúde</w:t>
      </w:r>
    </w:p>
    <w:p w:rsidR="00812ABD" w:rsidRDefault="00812ABD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:rsidR="00812ABD" w:rsidRDefault="00185534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ESPECIFICAÇÃO DO OBJETO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Contratação de pessoas jurídicas que p</w:t>
      </w:r>
      <w:r>
        <w:rPr>
          <w:rFonts w:ascii="Arial" w:eastAsia="Arial" w:hAnsi="Arial" w:cs="Arial"/>
          <w:sz w:val="24"/>
          <w:szCs w:val="24"/>
        </w:rPr>
        <w:t>restam serviços de saúde na coleta, análise e distribuição de resultados de exames laboratoriais constantes na Tabela de Procedimentos, de acordo com as diretrizes do SUS, conforme segue abaixo:</w:t>
      </w:r>
    </w:p>
    <w:tbl>
      <w:tblPr>
        <w:tblW w:w="10364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35"/>
        <w:gridCol w:w="1590"/>
        <w:gridCol w:w="2160"/>
        <w:gridCol w:w="1186"/>
        <w:gridCol w:w="1304"/>
        <w:gridCol w:w="1636"/>
        <w:gridCol w:w="1753"/>
      </w:tblGrid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ITEM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CÓDIGO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DESCRIÇÃO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QUANTI-DADE ANUAL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VALOR SUS UNITÁRIO (R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$)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VALOR COMPLEMEN-TAR UNITÁRIO (R$)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TOTAL ANUAL (R$)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02.02.01.002-3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capacidade de fixação do ferro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14,99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02.02.01.004-0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curva glicêmica (2 dosagens)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24,00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14256,00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 ácido úrico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3385,50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02.02.01.013-9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ácido vanilmandelico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02.02.01.014-7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aldolase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02.02.01.016-3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alfa-1-glicoproteina ácida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10,32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02.02.01.018-0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amilase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02.02.01.020-1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bilirrubina total e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frações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1869,30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02.02.01.021-0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cálcio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before="20" w:after="240" w:line="240" w:lineRule="auto"/>
              <w:ind w:right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2097,90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02.02.01.022-8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cálcio ionizável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before="20" w:after="240" w:line="240" w:lineRule="auto"/>
              <w:ind w:right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10,49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2436,00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02.02.01.026-0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cloreto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02.02.01.027-9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colesterol HDL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12528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43973,28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02.02.01.028-7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colesterol LDL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12804,48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02.02.01.029-5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colesterol total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14676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27150,60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02.02.01.031-7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creatinina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13734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25407,90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02.02.01.032-5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creatinofosfoquinase (CPK)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3267,84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02.02.01.033-3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creatinofosfoquinase fração Mb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23,88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desidrogenase alfa-hidroxibutírica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21,06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02.02.01.036-8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desidrogenase lática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662,40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02.02.01.038-4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ferritina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15,59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26378,28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02.02.01.039-2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ferro sérico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3706,56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02.02.01.040-6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folato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7324,20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fosfatase ácida total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10,99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02.02.01.042-2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fosfatase alcalina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1652,22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fósforo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499,50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26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02.02.01.046-5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gama-glutamil-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transferase (Gama GT)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3896,10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02.02.01.047-3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glicose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16794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31068,90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02.02.01.048-1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glicose-6-fosfato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desidrogenage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12,32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02.02.01.050-3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hemoglobina glicosilada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7,86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56356,20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02.02.01.051-1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hidroxiprolina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02.02.01.055-4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lipase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02.02.01.056-2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magnésio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771,84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02.02.01.057-0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muco-proteínas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14,99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potássio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6704,40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02.02.01.061-9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proteínas totais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1,40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02.02.01.062-7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proteínas totais e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frações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643,80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02.02.01.063-5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sódio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3740,70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02.02.01.064-3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de transaminase glutamico- oxalacetica (TGO)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18355,32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02.02.01.065-1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transaminase glutamico-piruvica (TGP)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15762,42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02.02.01.066-0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transferrina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41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02.02.01.067-8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triglicerídeos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48817,08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02.02.01.069-4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ureia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8336,10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02.02.01.070-8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Vitamina B12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6744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15,24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102778,56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02.02.01.071-6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Eletroforese de lipoproteínas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02.02.01.072-4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Eletroforese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proteínas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4,42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503,88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02.02.01.076-7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25 hidroxivitamina D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7776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15,24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118506,24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02.02.02.002-9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Contagem de plaquetas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18570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50696,10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02.02.02.003-7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Contagem de reticulócitos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14,27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02.02.02.007-0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coagulação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180,18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02.02.02.009-6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sangramento-Duke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49,14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Sangramento de Ivy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02.02.02.012-6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Determinação de tempo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trombina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02.02.02.013-4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de tromboplastina parcial ativada (TTP ativada)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5,77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5331,48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02.02.02.014-2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tempo e atividade da protrombina (TAP)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15,27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36504,00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02.02.02.015-0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velocidade de hemossedimentação (VHS)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4357,08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56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02.02.02.030-4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hemoglobina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hemoglobina fetal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16,38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02.02.02.035-5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Eletroforese de hemoglobina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5,41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1395,78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02.02.02.036-3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Eritrograma (eritrócitos, hemoglobina, hematócrito)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32,76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02.02.02.037-1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Hematócrito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27,54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Hemograma completo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18834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4,11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77407,74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02.02.02.039-8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Leucograma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16,38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02.02.02.044-4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hemoglobina 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14,27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02.02.02.049-5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Prova de retração do coágulo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32,76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02.02.02.050-9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Prova do laço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16,38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02.02.02.054-1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direto de antiglobulina humana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(TAD)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32,76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02.02.03.002-4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Contagens de linfócitos CD4/CD8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02.02.03.007-5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fator reumatoide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1528,20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02.02.03.008-3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quantitativa de proteína C reativa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10,75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02.02.03.009-1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alfa-fetoproteína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15,06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8,94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02.02.03.010-5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antígeno prostático específico (PSA)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16,42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42265,08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72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02.02.03.011-3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beta-2-microglobulina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02.02.03.012-1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complemento C3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complemento C4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2070,00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02.02.03.015-6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imunoglobulina a (IGA)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02.02.03.016-4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imunoglobulina e (IGE)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2109,00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02.02.03.018-0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imunoglobulina m (IGM)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02.02.03.020-2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proteína C reativa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2733,78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02.02.03.030-0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anti-HIV-1 + HIV-2 (ELISA)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02.02.03.034-2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anti-sm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02.02.03.035-0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anti-SS-A (RO)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02.02.03.036-9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anti-SS-B (LA)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02.02.03.045-8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Antiescleroderma (SCL70)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02.02.03.047-4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antiestreptolisina o (ASLO)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220,74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02.02.03.055-5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antimicrossomas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3312,00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86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02.02.03.056-3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antimitocondria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02.02.03.058-0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antimúsculo Liso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02.02.03.059-8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antinúcleo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9575,28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02.02.03.060-1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antiparietais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02.02.03.062-8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antitireoglobulina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2484,00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02.02.03.063-6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contra antígeno de superfície do vírus da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Hepatite B (anti-HBS)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02.02.03.064-4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contra antígeno e do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vírus da hepatite B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(anti-HBE)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779,10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02.02.03.067-9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contra o vírus da hepatite C (anti-HCV)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13578,60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02.02.03.068-7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contra o vírus da hepatite D (anti-HDV)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222,60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02.02.03.074-1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anticitomegalovírus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02.02.03.076-8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antitoxoplasma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16,97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15782,10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02.02.03.078-4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anticorpos IgG e IgM contra antígeno central do vírus da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hepatite B (anti-HBC-total)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02.02.03.080-6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da hepatite A (HAV-IgG)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445,20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da rubéola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205,92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02.02.03.082-2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da varicela-herpes zoster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Epstein-Barr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02.02.03.084-9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IgG contra o vírus herpes simples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02.02.03.085-7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anticitomegalovirus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11,61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2298,78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02.02.03.087-3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antitoxoplasma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17251,50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02.02.03.089-0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antígeno central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do vírus da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Hepatite B (anti-HBC-IgM)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890,40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02.02.03.091-1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o vírus da hepatite A (HAV-IgG)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445,20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o vírus da rubéola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205,92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02.02.03.093-8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o vírus da varicela-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herpes Zoster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02.02.03.094-6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anticorpos IgM contra o vírus Epstein-Barr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02.02.03.095-4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anticorpos IgM contra o vírus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herpes simples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5,84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02.02.03.096-2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antígeno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carcinoembrionario (CEA)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961,20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antígeno de superfície do vírus da hepatite B (HBSAG)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15248,10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02.02.03.098-9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antígeno e do vírus da hepatite B (HBEAG)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556,50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02.02.03.099-7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Detecção de clamídia e gonococo por biologia molecular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02.02.03.101-2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fator reumatoide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(Waaler-Rose)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4,10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270,60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02.02.03.103-9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imunoglobulina e (IGE) alergeno-específica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02.02.03.111-0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não treponêmico para detecção de sífilis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3871,44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02.02.03.112-8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FTA-ABS IgG para diagnóstico da sífilis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02.02.03.113-6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FTA-ABS IgM para diagnostico da sífilis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02.02.03.117-9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não treponêmico para detecção de sífilis em gestantes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1647,06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121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02.02.03.118-7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anticorpos antitransglutaminaise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recombinante humano IGA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3116,40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02.02.03.119-5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da fração C1Q do complemento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02.02.03.120-9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troponina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02.02.03.121-7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do antígeno CA 125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320,40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gordura fecal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3,04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54,72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02.02.04.003-8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Exame coprológico funcional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3,04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28,96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02.02.04.004-6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Identificação de fragmentos de Helmintos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02.02.04.005-4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enterobius vermiculares (oxiurus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oxiura)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02.02.04.006-2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eosinófilos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gordura fecal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02.02.04.008-9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larvas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02.02.04.009-7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Pesquisa de leucócitos nas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29,70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leveduras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02.02.04.011-9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ovos de schistosomas (em fragmento de mucosa)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02.02.04.012-7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ovos e cistos de parasitas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2999,70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136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02.02.04.013-5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rotavírus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19,75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02.02.04.014-3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sangue oculto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15,35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36924,00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02.02.04.015-1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substâncias redutoras nas fezes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29,70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02.02.04.017-8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trofozoitas nas fezes (ameba)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02.02.05.001-7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Análise de caracteres físicos, elementos e sedimento da urina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13872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3,70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51326,40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02.02.05.002-5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Clearance de creatinina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20,49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Clearance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 ureia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21,06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02.02.05.008-4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citrato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24,12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02.02.05.009-2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microalbumina na urina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02.02.05.010-6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oxalato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3,68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20,32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02.02.05.011-4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proteínas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(urina de 24 Horas)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17,96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02.02.05.013-0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Exame qualitativo de cálculos urinários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3,70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02.02.05.022-0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fenil-cetona na urina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2,04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02.02.05.024-6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galactose na urina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3,36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20,16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02.02.05.030-0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proteínas urinarias (por eletroforese)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4,44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79,92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retenção de T3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12,54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29,46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152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02.02.06.003-9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Determinação de T3 reverso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12,54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22,46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02.02.06.004-7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17-alfa-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Hidroxiprogesterona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10,20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19,80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02.02.06.005-5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17-cetosteroides totais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6,72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02.02.06.006-3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17-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hidroxicorticosteroides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6,72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02.02.06.007-1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ácido 5-hidroxi-indol-acético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(serotonina)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6,72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adrenocorticotrófico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(ACTH)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02.02.06.009-8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aldosterona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11,89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14,11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02.02.06.011-0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androstenediona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14,47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02.02.06.012-8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calcitonia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14,38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22,62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02.02.06.013-6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cortisol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9,86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16,14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02.02.06.014-4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dehidroepiandrosterona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(DHEA)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14,75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02.02.06.015-2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dihidrotestoterona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(DHT)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11,71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14,29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02.02.06.016-0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estradiol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10,15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16,85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9396,00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02.02.06.017-9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estriol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11,55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14,45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02.02.06.018-7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estrona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14,88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02.02.06.021-7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Dosagem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gonadotrofina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coriônica humana (HCG, BETA HCG)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7,85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5557,80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02.02.06.022-5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hormônio de crescimento (HGH)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10,21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17,79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336,00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02.02.06.023-3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hormônio folículo-estimulante (FSH)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7,89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4260,60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02.02.06.024-1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hormônio luteinizante (LH)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8,97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2798,64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02.02.06.025-0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hormônio tireoestimulante (TSH)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8,96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121067,52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02.02.06.026-8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insulina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10,17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7,83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02.02.06.027-6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paratormônio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43,13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8280,96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02.02.06.028-4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peptídeo C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4,65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02.02.06.029-2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progesterona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10,22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981,12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02.02.06.030-6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prolactina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10,15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3532,20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02.02.06.032-2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somatomedina C (IGF1)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02.02.06.033-0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sulfato de hidroepiandrosterona (DHEAS)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13,11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11,89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02.02.06.034-9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testosterona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10,43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3441,90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02.02.06.035-7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testosterona livre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13,11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17,89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3720,00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02.02.06.036-5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tireoglobulina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15,35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7,65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182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02.02.06.037-3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tiroxina (T4)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8,76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3574,08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02.02.06.038-1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tiroxina livre (T4 livre)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3804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11,60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44126,40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02.02.06.039-0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triiodotironina (T3)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8,71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2038,14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02.02.06.047-0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macroprolactina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12,15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72,90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02.02.07.005-0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ácido valpróico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7,35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3174,00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02.02.07.008-5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alumÍnio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27,50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02.02.07.010-7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anfetaminas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189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02.02.07.011-5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antidepressivos tricíclicos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02.02.07.013-1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benzodiazepinicos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13,48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80,88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02.02.07.015-8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carbamazepina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17,53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736,26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02.02.07.017-4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chumbo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8,83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52,98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02.02.07.018-2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ciclosporina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58,61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351,66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02.02.07.022-0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fenitoína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35,22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02.02.07.025-5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lítio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2,25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24,75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5670,00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02.02.07.035-2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Dosagem de zinco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15,65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6103,50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02.02.08.001-3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Antibiograma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4,98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18077,40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02.02.08.004-8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Baciloscopia direta para BAAR tuberculose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(diagnóstica)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4,20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199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02.02.08.005-6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Baciloscopia direta para BAAR (hanseníase)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4,20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25,20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02.02.08.007-2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Bacterioscopia (GRAM)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1108,80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02.02.08.008-0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Cultura de bactérias para identificação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3912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5,62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21985,44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02.02.08.011-0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Cultura para BAAR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5,63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33,78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02.02.08.014-5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Exame microbiológico a fresco (direto)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604,80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02.02.09.003-5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Citologia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para clamídia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4,33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883,32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02.02.09.026-4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espermatozoides (após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vasectomia)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4,80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28,80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02.02.09.030-2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Prova do látex para pesquisa do fator reumatoide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1,89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11,34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02.02.12.002-3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Determinação direta e reversa de Grupo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ABO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1,37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1167,24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02.02.12.008-2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Pesquisa de fator RH (inclui D fraco)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1,37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1167,24</w:t>
            </w:r>
          </w:p>
        </w:tc>
      </w:tr>
      <w:tr w:rsidR="00812ABD">
        <w:trPr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02.02.12.009-0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Teste indireto de antiglobulina humana</w:t>
            </w:r>
          </w:p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(TIA)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2,73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812ABD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524,16</w:t>
            </w:r>
          </w:p>
        </w:tc>
      </w:tr>
      <w:tr w:rsidR="00812ABD">
        <w:trPr>
          <w:jc w:val="center"/>
        </w:trPr>
        <w:tc>
          <w:tcPr>
            <w:tcW w:w="8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pStyle w:val="LO-normal1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VALOR TOTAL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ABD" w:rsidRDefault="0018553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Liberation Sans" w:eastAsia="Arial" w:hAnsi="Liberation Sans" w:cs="Arial"/>
                <w:b/>
                <w:sz w:val="20"/>
                <w:szCs w:val="20"/>
                <w:highlight w:val="white"/>
              </w:rPr>
              <w:t>R$ 1.373.435,22</w:t>
            </w:r>
          </w:p>
        </w:tc>
      </w:tr>
    </w:tbl>
    <w:p w:rsidR="00812ABD" w:rsidRDefault="00812ABD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</w:p>
    <w:p w:rsidR="00812ABD" w:rsidRDefault="00812ABD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</w:p>
    <w:p w:rsidR="00812ABD" w:rsidRDefault="00812ABD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</w:p>
    <w:p w:rsidR="00812ABD" w:rsidRDefault="00812ABD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</w:p>
    <w:p w:rsidR="00812ABD" w:rsidRDefault="00812ABD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</w:p>
    <w:p w:rsidR="00812ABD" w:rsidRDefault="00812ABD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812ABD" w:rsidRDefault="00185534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MINUTA DO CONTRATO DE </w:t>
      </w:r>
      <w:r>
        <w:rPr>
          <w:rFonts w:ascii="Arial" w:eastAsia="Arial" w:hAnsi="Arial" w:cs="Arial"/>
          <w:b/>
          <w:sz w:val="24"/>
          <w:szCs w:val="24"/>
        </w:rPr>
        <w:t>CREDENCIAMENTO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CONTRATO DE CREDENCIAMENTO QUE CELEBRAM ENTRE SI O MUNICÍPIO DE LAGUNA E A EMPRESA ...............................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Município de Laguna, pessoa jurídica de direito público interno, por meio do Fundo Municipal de Saúde de Laguna, com sede na</w:t>
      </w:r>
      <w:r>
        <w:rPr>
          <w:rFonts w:ascii="Arial" w:eastAsia="Arial" w:hAnsi="Arial" w:cs="Arial"/>
          <w:sz w:val="24"/>
          <w:szCs w:val="24"/>
        </w:rPr>
        <w:t xml:space="preserve"> rua Nereu Ramos, 87, no bairro Magalhães - Laguna - SC, inscrita no Cadastro Geral de Contribuintes/MF sob o nº 06.231.321/0001-92, neste ato representada, por _______________________, doravante denominado MUNICÍPIO, e a Empresa ..........................</w:t>
      </w:r>
      <w:r>
        <w:rPr>
          <w:rFonts w:ascii="Arial" w:eastAsia="Arial" w:hAnsi="Arial" w:cs="Arial"/>
          <w:sz w:val="24"/>
          <w:szCs w:val="24"/>
        </w:rPr>
        <w:t>...................., CNPJ/MF nº ......................, Inscrição Municipal nº ................., situado à ......................................., habilitado no Credenciamento nº 02/2022 - FMS, neste ato representada pelo Sr. ...........................</w:t>
      </w:r>
      <w:r>
        <w:rPr>
          <w:rFonts w:ascii="Arial" w:eastAsia="Arial" w:hAnsi="Arial" w:cs="Arial"/>
          <w:sz w:val="24"/>
          <w:szCs w:val="24"/>
        </w:rPr>
        <w:t xml:space="preserve">..., portador de documento de identidade nº ............., emitido por .........., doravante denominada(o) CREDENCIADO, na forma da Lei Federal n.º 8.666/93, suas alterações e demais normas aplicáveis à espécie e do edital de credenciamento 02/2022 - FMS, </w:t>
      </w:r>
      <w:r>
        <w:rPr>
          <w:rFonts w:ascii="Arial" w:eastAsia="Arial" w:hAnsi="Arial" w:cs="Arial"/>
          <w:sz w:val="24"/>
          <w:szCs w:val="24"/>
        </w:rPr>
        <w:t>mediante as cláusulas e condições a seguir ajustadas: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PRIMEIRA - DO OBJETO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1.1 - O CREDENCIADO compromete-se a prestar os serviços de saúde na coleta, análise e distribuição de resultados de exames laboratoriais constantes na Tabela de Procedimen</w:t>
      </w:r>
      <w:r>
        <w:rPr>
          <w:rFonts w:ascii="Arial" w:eastAsia="Arial" w:hAnsi="Arial" w:cs="Arial"/>
          <w:sz w:val="24"/>
          <w:szCs w:val="24"/>
        </w:rPr>
        <w:t>tos, de acordo com as diretrizes do SUS, conforme especificações constantes do Anexo I do Edital de Credenciamento nº 02/2022 - FMS.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Parágrafo único: Fazem parte integrante deste termo de credenciamento como se nele estivessem transcritos o edital de cred</w:t>
      </w:r>
      <w:r>
        <w:rPr>
          <w:rFonts w:ascii="Arial" w:eastAsia="Arial" w:hAnsi="Arial" w:cs="Arial"/>
          <w:sz w:val="24"/>
          <w:szCs w:val="24"/>
        </w:rPr>
        <w:t>enciamento 02/2022 e a proposta da credenciada.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SEGUNDA – DO FORNECIMENTO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2.1 - O CREDENCIADO prestará os serviços objeto deste credenciamento em suas dependências e instalações médicas, salvo àqueles que necessitarem de análise em outra localida</w:t>
      </w:r>
      <w:r>
        <w:rPr>
          <w:rFonts w:ascii="Arial" w:eastAsia="Arial" w:hAnsi="Arial" w:cs="Arial"/>
          <w:sz w:val="24"/>
          <w:szCs w:val="24"/>
        </w:rPr>
        <w:t>de, que passa a fazer parte do presente contrato como se nele transcrito estivesse.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2.2 - Os serviços somente deverão ser prestados aos usuários mediante autorização prévia da Secretaria Municipal de Saúde, devendo o usuário apresentar documento de identif</w:t>
      </w:r>
      <w:r>
        <w:rPr>
          <w:rFonts w:ascii="Arial" w:eastAsia="Arial" w:hAnsi="Arial" w:cs="Arial"/>
          <w:sz w:val="24"/>
          <w:szCs w:val="24"/>
        </w:rPr>
        <w:t>icação, cartão nacional do SUS e guia de autorização emitida pela Secretaria Municipal de Saúde.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2.3 - O CREDENCIADO deverá atender aos beneficiários com elevado padrão de eficiência e estrita observância à legislação que trata da relação de consumo e da </w:t>
      </w:r>
      <w:r>
        <w:rPr>
          <w:rFonts w:ascii="Arial" w:eastAsia="Arial" w:hAnsi="Arial" w:cs="Arial"/>
          <w:sz w:val="24"/>
          <w:szCs w:val="24"/>
        </w:rPr>
        <w:t>ética profissional, utilizando todos os recursos e meios disponíveis, com os mesmos padrões de atendimento dispensados aos demais consumidores, sendo-lhe vedado qualquer tipo de discriminação.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2.4 - No ato do fornecimento o CREDENCIADO solicitará ao </w:t>
      </w:r>
      <w:r>
        <w:rPr>
          <w:rFonts w:ascii="Arial" w:eastAsia="Arial" w:hAnsi="Arial" w:cs="Arial"/>
          <w:sz w:val="24"/>
          <w:szCs w:val="24"/>
        </w:rPr>
        <w:t>beneficiário ou a seu representante que ateste a prestação do serviço no próprio documento de autorização do fornecimento, fincado com este em seu poder.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2.5 - Em nenhum caso o CREDENCIADO poderá cobrar diretamente do usuário qualquer valor, independente d</w:t>
      </w:r>
      <w:r>
        <w:rPr>
          <w:rFonts w:ascii="Arial" w:eastAsia="Arial" w:hAnsi="Arial" w:cs="Arial"/>
          <w:sz w:val="24"/>
          <w:szCs w:val="24"/>
        </w:rPr>
        <w:t>o título e da razão, para prestação do serviço autorizado pela Secretaria Municipal de Saúde.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2.6 - Em caso de alterações do rol dos serviços de interesse do CREDENCIADO, a parte interessada solicitará a inclusão ou exclusão dos serviços relativos a este E</w:t>
      </w:r>
      <w:r>
        <w:rPr>
          <w:rFonts w:ascii="Arial" w:eastAsia="Arial" w:hAnsi="Arial" w:cs="Arial"/>
          <w:sz w:val="24"/>
          <w:szCs w:val="24"/>
        </w:rPr>
        <w:t>dital de Credenciamento, que somente poderão ser realizados após a assinatura do termo aditivo correspondente.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TERCEIRA - DO PREÇO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3.1 - O fundo Municipal de Saúde de Laguna pagará pela execução dos serviços os preços conforme tabela que segue:</w:t>
      </w:r>
    </w:p>
    <w:p w:rsidR="00812ABD" w:rsidRDefault="00185534">
      <w:pPr>
        <w:pStyle w:val="LO-normal"/>
        <w:spacing w:before="24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TABELA DE PROCEDIMENTOS QUE A EMPRESA PRESTARÁ)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3.2 - Para o custeio da execução dos serviços objeto deste termo, serão utilizados recursos consignados na Lei Orçamentária do Município de Laguna, à conta do Fundo Municipal de Saúde, nas seguintes dotações: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19 - Fundo Municipal de Saúde  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01 - Fundo Municipal de Saúde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Proj/Ativ 2710 - Media e Alta Complexidade Ambulatorial e Hospitalar/FAEC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32 - 3.3.90.00.00.00.00.00.00.01.0101</w:t>
      </w:r>
    </w:p>
    <w:p w:rsidR="00812ABD" w:rsidRDefault="00185534">
      <w:pPr>
        <w:pStyle w:val="LO-normal"/>
        <w:spacing w:before="240" w:line="240" w:lineRule="auto"/>
        <w:jc w:val="both"/>
        <w:rPr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33 - 3.3.90.00.00.00.00.00.00.01.0002</w:t>
      </w:r>
    </w:p>
    <w:p w:rsidR="00812ABD" w:rsidRDefault="00812ABD">
      <w:pPr>
        <w:pStyle w:val="LO-normal"/>
        <w:spacing w:before="240" w:line="240" w:lineRule="auto"/>
        <w:jc w:val="both"/>
        <w:rPr>
          <w:rFonts w:eastAsia="Arial" w:cs="Arial"/>
        </w:rPr>
      </w:pPr>
    </w:p>
    <w:p w:rsidR="00812ABD" w:rsidRDefault="00812ABD">
      <w:pPr>
        <w:pStyle w:val="LO-normal"/>
        <w:spacing w:before="240" w:line="240" w:lineRule="auto"/>
        <w:jc w:val="both"/>
        <w:rPr>
          <w:rFonts w:eastAsia="Arial" w:cs="Arial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QUARTA - DO PAGAMENTO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4.1 - A cr</w:t>
      </w:r>
      <w:r>
        <w:rPr>
          <w:rFonts w:ascii="Arial" w:eastAsia="Arial" w:hAnsi="Arial" w:cs="Arial"/>
          <w:sz w:val="24"/>
          <w:szCs w:val="24"/>
        </w:rPr>
        <w:t>edenciada deverá apresentar ao Departamento de Controle e Avaliação da Secretaria Municipal de Saúde a Nota Fiscal/Fatura com o relatório detalhado dos serviços prestados, com as guias de autorização emitidas pela Secretaria Municipal de Saúde, devidamente</w:t>
      </w:r>
      <w:r>
        <w:rPr>
          <w:rFonts w:ascii="Arial" w:eastAsia="Arial" w:hAnsi="Arial" w:cs="Arial"/>
          <w:sz w:val="24"/>
          <w:szCs w:val="24"/>
        </w:rPr>
        <w:t xml:space="preserve"> atestadas pelos usuários do serviço ou seus representantes, quando for o caso, até o 5º dia útil do mês subsequente ao da prestação do serviço. O Departamento supracitado atestará a nota fiscal e encaminhará até o 10º dia útil do mês subsequente ao Setor </w:t>
      </w:r>
      <w:r>
        <w:rPr>
          <w:rFonts w:ascii="Arial" w:eastAsia="Arial" w:hAnsi="Arial" w:cs="Arial"/>
          <w:sz w:val="24"/>
          <w:szCs w:val="24"/>
        </w:rPr>
        <w:t>de Contabilidade da Secretaria Municipal de Saúde para pagamento dos serviços efetuados.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4.2 - O Fundo Municipal de Saúde de Laguna poderá suspender o pagamento de qualquer nota fiscal, nos seguintes casos: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descumprimento das obrigações do CREDENCIADO </w:t>
      </w:r>
      <w:r>
        <w:rPr>
          <w:rFonts w:ascii="Arial" w:eastAsia="Arial" w:hAnsi="Arial" w:cs="Arial"/>
          <w:sz w:val="24"/>
          <w:szCs w:val="24"/>
        </w:rPr>
        <w:t>para com terceiros, que possam, de qualquer forma, prejudicar o MUNICÍPIO;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inadimplências de obrigações do CREDENCIADO para com o MUNICÍPIO;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erros, omissões ou vícios nas notas fiscais emitidas pelo CREDENCIADO.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QUINTA - DO PRAZO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5.1 -</w:t>
      </w:r>
      <w:r>
        <w:rPr>
          <w:rFonts w:ascii="Arial" w:eastAsia="Arial" w:hAnsi="Arial" w:cs="Arial"/>
          <w:sz w:val="24"/>
          <w:szCs w:val="24"/>
        </w:rPr>
        <w:t xml:space="preserve"> O prazo de execução do presente Termo de Credenciamento será de 12 meses, podendo ser prorrogado, conforme necessidade da Administração Pública, que verificará o interesse junto ao credenciado.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SEXTA - DAS OBRIGAÇÕES DO CREDENCIADO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6.1 - Além </w:t>
      </w:r>
      <w:r>
        <w:rPr>
          <w:rFonts w:ascii="Arial" w:eastAsia="Arial" w:hAnsi="Arial" w:cs="Arial"/>
          <w:sz w:val="24"/>
          <w:szCs w:val="24"/>
        </w:rPr>
        <w:t>das demais obrigações contidas neste Contrato de Credenciamento e decorrentes de determinação legal, o CONTRATADO obriga-se a: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6.1.1 - Executar o fornecimento objeto deste Contrato de Credenciamento de acordo com as especificações e/ou normas exigidas;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</w:t>
      </w:r>
      <w:r>
        <w:rPr>
          <w:rFonts w:ascii="Arial" w:eastAsia="Arial" w:hAnsi="Arial" w:cs="Arial"/>
          <w:sz w:val="24"/>
          <w:szCs w:val="24"/>
        </w:rPr>
        <w:t>.2 - Prestar os serviços dentro dos melhores padrões de qualidade, dispensando aos cidadãos um tratamento cortês e igualitário, de acordo com o que preceitua o Código de Defesa do Consumidor;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6.1.3 - Zelar pela boa e completa execução do serviço, por todos</w:t>
      </w:r>
      <w:r>
        <w:rPr>
          <w:rFonts w:ascii="Arial" w:eastAsia="Arial" w:hAnsi="Arial" w:cs="Arial"/>
          <w:sz w:val="24"/>
          <w:szCs w:val="24"/>
        </w:rPr>
        <w:t xml:space="preserve"> os meios ao seu alcance, a ampla ação fiscalizadora dos prepostos designados pelo Fundo Municipal de Saúde de Laguna, atendendo prontamente às observações e exigências que lhe forem solicitadas;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6.1.4 - Obrigar-se a manter os estabelecimentos abertos ao p</w:t>
      </w:r>
      <w:r>
        <w:rPr>
          <w:rFonts w:ascii="Arial" w:eastAsia="Arial" w:hAnsi="Arial" w:cs="Arial"/>
          <w:sz w:val="24"/>
          <w:szCs w:val="24"/>
        </w:rPr>
        <w:t>úblico, em horário comercial;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6.1.5 - Afixar em locais visíveis, nos estabelecimentos credenciados, informações com os seguintes dizeres: FORNECEDOR CREDENCIADO PELO FUNDO MUNICIPAL DE SAÚDE DE LAGUNA;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6.1.6 - Manter cópias dos arquivos transmitidos ao Fun</w:t>
      </w:r>
      <w:r>
        <w:rPr>
          <w:rFonts w:ascii="Arial" w:eastAsia="Arial" w:hAnsi="Arial" w:cs="Arial"/>
          <w:sz w:val="24"/>
          <w:szCs w:val="24"/>
        </w:rPr>
        <w:t>do Municipal de Saúde, durante, no mínimo, 12 (doze) meses;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6.1.7 - Efetuar pontualmente o pagamento de todas as taxas e impostos que incidam ou venham a incidir sobre as suas atividades e/ou sobre a execução do objeto do presente Contrato, inclusive as ob</w:t>
      </w:r>
      <w:r>
        <w:rPr>
          <w:rFonts w:ascii="Arial" w:eastAsia="Arial" w:hAnsi="Arial" w:cs="Arial"/>
          <w:sz w:val="24"/>
          <w:szCs w:val="24"/>
        </w:rPr>
        <w:t>rigações sociais, previdenciárias e trabalhistas dos seus empregados;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6.1.8 - Observar e respeitar a Legislação Federal, Estadual e Municipal, relativas a execução de serviços;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6.1.9 - Arcar com todo e qualquer dano ou prejuízo material causado ao </w:t>
      </w:r>
      <w:r>
        <w:rPr>
          <w:rFonts w:ascii="Arial" w:eastAsia="Arial" w:hAnsi="Arial" w:cs="Arial"/>
          <w:sz w:val="24"/>
          <w:szCs w:val="24"/>
        </w:rPr>
        <w:t>MUNICÍPIO e/ou a terceiros;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6.1.10 - Comunicar à Secretaria Municipal de Saúde de Laguna qualquer anormalidade que interfira no bom andamento do fornecimento objeto do presente Contrato de Credenciamento, inclusive indicando o nome do responsável;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6.1.11 -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Informar à Secretaria de Saúde imediatamente qualquer alteração no contrato social ou no Cadastro Nacional de Pessoa Jurídica apresentando as documentações referentes a essas alterações.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SÉTIMA - DAS OBRIGAÇÕES DO FUNDO MUNICIPAL DE SAÚDE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7.1 - </w:t>
      </w:r>
      <w:r>
        <w:rPr>
          <w:rFonts w:ascii="Arial" w:eastAsia="Arial" w:hAnsi="Arial" w:cs="Arial"/>
          <w:sz w:val="24"/>
          <w:szCs w:val="24"/>
        </w:rPr>
        <w:t>O Fundo Municipal de Saúde, além das obrigações contidas neste Contrato de Credenciamento e decorrentes de determinação legal, obriga-se a: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7.1.1 - Pagar as despesas decorrentes da prestação dos serviços objeto do presente Contrato de Credenciamento;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7.1.2</w:t>
      </w:r>
      <w:r>
        <w:rPr>
          <w:rFonts w:ascii="Arial" w:eastAsia="Arial" w:hAnsi="Arial" w:cs="Arial"/>
          <w:sz w:val="24"/>
          <w:szCs w:val="24"/>
        </w:rPr>
        <w:t xml:space="preserve"> - Emitir os documentos de autorização para utilização dos beneficiados na ocasião do fornecimento;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7.1.3 - Facilitar o desempenho do CREDENCIADO, quanto à prestação do serviço objeto do presente Termo de Credenciamento.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OITAVA - DA FISCALIZAÇÃO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8.1 - A Fiscalização do fornecimento ora pactuado será exercida pela Secretaria de Saúde, denominada no presente Contrato de Credenciamento, de Fiscalização, com poderes para: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8.1.1 - Transmitir ao CREDENCIADO as determinações que se julgarem necessárias;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8.1.2 - Recusar o serviço que não tenha sido executado de acordo com as condições especificadas neste Termo de Credenciamento;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8.1.3 - Determinar o descredenciamento do CREDENCIADO, nas hipóteses de descumprimento ou de cumprimento irregular das regras apl</w:t>
      </w:r>
      <w:r>
        <w:rPr>
          <w:rFonts w:ascii="Arial" w:eastAsia="Arial" w:hAnsi="Arial" w:cs="Arial"/>
          <w:sz w:val="24"/>
          <w:szCs w:val="24"/>
        </w:rPr>
        <w:t>icáveis ao credenciamento.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Único: A ação ou omissão total ou parcial da Fiscalização do Fundo Municipal de Saúde, não eximirá o CREDENCIADO de total responsabilidade na execução dos serviços objeto do presente Termo de Credenciamento.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D</w:t>
      </w:r>
      <w:r>
        <w:rPr>
          <w:rFonts w:ascii="Arial" w:eastAsia="Arial" w:hAnsi="Arial" w:cs="Arial"/>
          <w:sz w:val="24"/>
          <w:szCs w:val="24"/>
        </w:rPr>
        <w:t>ÉCIMA – DAS PENALIDADES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10.1 - Pela inexecução total ou parcial do contrato a CONTRATANTE poderá, garantida a prévia defesa, aplicar as seguintes sanções, sem prejuízo daquelas previstas no art. 87 da Lei Federal nº. 8.666/93: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10.2 - Pela inexecução total </w:t>
      </w:r>
      <w:r>
        <w:rPr>
          <w:rFonts w:ascii="Arial" w:eastAsia="Arial" w:hAnsi="Arial" w:cs="Arial"/>
          <w:sz w:val="24"/>
          <w:szCs w:val="24"/>
        </w:rPr>
        <w:t>ou parcial do Contrato, a CONTRATANTE poderá, garantida a prévia defesa, aplicar à CONTRATADA as sanções previstas nos incisos I, II e IV do art. 87 da Lei Federal nº 8.666/93 e multa de 20% (vinte por cento) sobre o valor dos serviços não prestados;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10.3 </w:t>
      </w:r>
      <w:r>
        <w:rPr>
          <w:rFonts w:ascii="Arial" w:eastAsia="Arial" w:hAnsi="Arial" w:cs="Arial"/>
          <w:sz w:val="24"/>
          <w:szCs w:val="24"/>
        </w:rPr>
        <w:t>- Aplicada a multa, a CONTRATANTE descontará do primeiro pagamento que fizer à CONTRATADA, após a sua imposição.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DÉCIMA PRIMEIRA - DA RESCISÃO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11.1 - A CREDENCIANTE poderá, em se verificando o descumprimento de normas estabelecidas no Contrato de</w:t>
      </w:r>
      <w:r>
        <w:rPr>
          <w:rFonts w:ascii="Arial" w:eastAsia="Arial" w:hAnsi="Arial" w:cs="Arial"/>
          <w:sz w:val="24"/>
          <w:szCs w:val="24"/>
        </w:rPr>
        <w:t xml:space="preserve"> Credenciamento, interromper temporariamente a sua execução até decisão exarada em processo administrativo sumário próprio que, </w:t>
      </w:r>
      <w:r>
        <w:rPr>
          <w:rFonts w:ascii="Arial" w:eastAsia="Arial" w:hAnsi="Arial" w:cs="Arial"/>
          <w:sz w:val="24"/>
          <w:szCs w:val="24"/>
        </w:rPr>
        <w:lastRenderedPageBreak/>
        <w:t>observados o contraditório e a ampla defesa, comprovada a culpa ou dolo, decidirá pelo descredenciamento da entidade.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11.2 - Cas</w:t>
      </w:r>
      <w:r>
        <w:rPr>
          <w:rFonts w:ascii="Arial" w:eastAsia="Arial" w:hAnsi="Arial" w:cs="Arial"/>
          <w:sz w:val="24"/>
          <w:szCs w:val="24"/>
        </w:rPr>
        <w:t>o o CREDENCIADO esteja em processo de apuração de irregularidades na prestação de seus serviços, não poderá se utilizar do previsto no item “11.1” desta Cláusula, enquanto não concluído o processo de apuração.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11.3 - O descredenciamento poderá ser determin</w:t>
      </w:r>
      <w:r>
        <w:rPr>
          <w:rFonts w:ascii="Arial" w:eastAsia="Arial" w:hAnsi="Arial" w:cs="Arial"/>
          <w:sz w:val="24"/>
          <w:szCs w:val="24"/>
        </w:rPr>
        <w:t>ado por: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11.3.1 - Motivos previstos nos incisos I a VIII do artigo 78 da Lei 8.666/93;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11.3.2 - Atendimento aos usuários da CREDENCIANTE de forma discriminatória e prejudicial, devidamente comprovada;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11.3.3 - Cobrança, direta ou indiretamente, aos usuário</w:t>
      </w:r>
      <w:r>
        <w:rPr>
          <w:rFonts w:ascii="Arial" w:eastAsia="Arial" w:hAnsi="Arial" w:cs="Arial"/>
          <w:sz w:val="24"/>
          <w:szCs w:val="24"/>
        </w:rPr>
        <w:t>s da CREDENCIANTE, de valores referentes a serviços prestados a título de complementação de pagamento;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11.3.4 - Reincidência na cobrança de serviços não executados ou executados irregularmente, devidamente comprovada;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11.3.5 - Ação de comprovada má-fé, dol</w:t>
      </w:r>
      <w:r>
        <w:rPr>
          <w:rFonts w:ascii="Arial" w:eastAsia="Arial" w:hAnsi="Arial" w:cs="Arial"/>
          <w:sz w:val="24"/>
          <w:szCs w:val="24"/>
        </w:rPr>
        <w:t>o ou fraude, causando prejuízos à CREDENCIANTE ou aos usuários do serviço;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11.3.6 - Deixar de comunicar, injustificadamente, à CREDENCIANTE, alteração de dados cadastrais, tais como, número de telefone e razão social, no prazo de até 30 (trinta) dias, a co</w:t>
      </w:r>
      <w:r>
        <w:rPr>
          <w:rFonts w:ascii="Arial" w:eastAsia="Arial" w:hAnsi="Arial" w:cs="Arial"/>
          <w:sz w:val="24"/>
          <w:szCs w:val="24"/>
        </w:rPr>
        <w:t>ntar da data da alteração.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11.3.7 - Deixar de comunicar previamente à CREDENCIANTE a alteração de endereço, para fins de vistoria;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11.3.8 - Deixar de atender o usuário alegando atraso no recebimento dos valores já faturados;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11.3.9 - Identificação de ocorr</w:t>
      </w:r>
      <w:r>
        <w:rPr>
          <w:rFonts w:ascii="Arial" w:eastAsia="Arial" w:hAnsi="Arial" w:cs="Arial"/>
          <w:sz w:val="24"/>
          <w:szCs w:val="24"/>
        </w:rPr>
        <w:t>ência de fraude, simulação, infração às normas sanitárias ou fiscais, ou ainda, descumprimento das exigências constantes do Edital, de sua proposta ou deste Contrato de Credenciamento.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11.3.10 - Pelo atraso injustificado no fornecimento dos serviços;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11.4 </w:t>
      </w:r>
      <w:r>
        <w:rPr>
          <w:rFonts w:ascii="Arial" w:eastAsia="Arial" w:hAnsi="Arial" w:cs="Arial"/>
          <w:sz w:val="24"/>
          <w:szCs w:val="24"/>
        </w:rPr>
        <w:t>- Ao ato do descredenciamento, por decisão da CREDENCIANTE, aplica-se, no que couber, o disposto no artigo 109 da Lei 8.666/93.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11.5 - Deverão ser concluídos pelo CREDENCIADO os tratamentos em curso, salvo nos casos de expressa manifestação técnica ou admi</w:t>
      </w:r>
      <w:r>
        <w:rPr>
          <w:rFonts w:ascii="Arial" w:eastAsia="Arial" w:hAnsi="Arial" w:cs="Arial"/>
          <w:sz w:val="24"/>
          <w:szCs w:val="24"/>
        </w:rPr>
        <w:t>nistrativa da CREDENCIANTE.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11.6 - O descredenciamento não eximirá o CREDENCIADO das garantias assumidas em relação aos serviços executados e de outras responsabilidades que legalmente lhe possam ser imputadas.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11.7 - Nas hipóteses previstas na presente cl</w:t>
      </w:r>
      <w:r>
        <w:rPr>
          <w:rFonts w:ascii="Arial" w:eastAsia="Arial" w:hAnsi="Arial" w:cs="Arial"/>
          <w:sz w:val="24"/>
          <w:szCs w:val="24"/>
        </w:rPr>
        <w:t>áusula não cabe ao CREDENCIADO o direito de indenização de qualquer natureza, ressalvando-se a obrigação da CREDENCIANTE em pagar pelos serviços prestados até a data da rescisão.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DÉCIMA SEGUNDA - DO FORO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12.1 - As partes elegem o Foro da Cidade </w:t>
      </w:r>
      <w:r>
        <w:rPr>
          <w:rFonts w:ascii="Arial" w:eastAsia="Arial" w:hAnsi="Arial" w:cs="Arial"/>
          <w:sz w:val="24"/>
          <w:szCs w:val="24"/>
        </w:rPr>
        <w:t>do Laguna, que prevalecerá sobre qualquer outro, por mais privilegiado que seja para dirimir quaisquer dúvidas oriundas do presente Contrato de Credenciamento.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CLÁUSULA DÉCIMA TERCEIRA - DO FUNDAMENTO LEGAL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13.1 - O presente Termo de Credenciamento tem co</w:t>
      </w:r>
      <w:r>
        <w:rPr>
          <w:rFonts w:ascii="Arial" w:eastAsia="Arial" w:hAnsi="Arial" w:cs="Arial"/>
          <w:sz w:val="24"/>
          <w:szCs w:val="24"/>
        </w:rPr>
        <w:t>mo fundamentação legal o “caput” do art. 25, da Lei nº 8.666/93, o edital de Credenciamento nº 01/2022 - FMS e suas alterações, bem como as Leis nº 9.656/98 e 1.725/14, federal e municipal, respectivamente.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E, por estarem assim justos e pactuados, firmam o</w:t>
      </w:r>
      <w:r>
        <w:rPr>
          <w:rFonts w:ascii="Arial" w:eastAsia="Arial" w:hAnsi="Arial" w:cs="Arial"/>
          <w:sz w:val="24"/>
          <w:szCs w:val="24"/>
        </w:rPr>
        <w:t xml:space="preserve"> presente Contrato de Credenciamento em 03 (três) vias de igual teor e forma na presença das testemunhas, que subscrevem depois de lido e achado conforme.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Laguna ______ de _____________________ de 2022.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_________________________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Empresa                                                                     Secretaria de Saúde</w:t>
      </w:r>
    </w:p>
    <w:p w:rsidR="00812ABD" w:rsidRDefault="00812ABD">
      <w:pPr>
        <w:pStyle w:val="LO-normal"/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                                      _________________________</w:t>
      </w:r>
    </w:p>
    <w:p w:rsidR="00812ABD" w:rsidRDefault="00185534">
      <w:pPr>
        <w:pStyle w:val="LO-normal"/>
        <w:spacing w:before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sz w:val="24"/>
          <w:szCs w:val="24"/>
        </w:rPr>
        <w:t xml:space="preserve"> Testemunhas                                                                        Testemunhas</w:t>
      </w:r>
    </w:p>
    <w:p w:rsidR="00812ABD" w:rsidRDefault="00812ABD">
      <w:pPr>
        <w:pStyle w:val="LO-normal"/>
        <w:jc w:val="both"/>
        <w:rPr>
          <w:rFonts w:ascii="Arial" w:hAnsi="Arial"/>
          <w:sz w:val="24"/>
          <w:szCs w:val="24"/>
        </w:rPr>
      </w:pPr>
    </w:p>
    <w:sectPr w:rsidR="00812ABD">
      <w:headerReference w:type="default" r:id="rId7"/>
      <w:footerReference w:type="default" r:id="rId8"/>
      <w:pgSz w:w="11906" w:h="16838"/>
      <w:pgMar w:top="1417" w:right="1285" w:bottom="1417" w:left="1275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34" w:rsidRDefault="00185534">
      <w:pPr>
        <w:spacing w:after="0" w:line="240" w:lineRule="auto"/>
      </w:pPr>
      <w:r>
        <w:separator/>
      </w:r>
    </w:p>
  </w:endnote>
  <w:endnote w:type="continuationSeparator" w:id="0">
    <w:p w:rsidR="00185534" w:rsidRDefault="0018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BD" w:rsidRDefault="00185534">
    <w:pPr>
      <w:pStyle w:val="LO-normal"/>
      <w:tabs>
        <w:tab w:val="center" w:pos="4252"/>
        <w:tab w:val="right" w:pos="8504"/>
      </w:tabs>
      <w:spacing w:after="0" w:line="240" w:lineRule="auto"/>
      <w:ind w:left="-1275"/>
      <w:rPr>
        <w:color w:val="000000"/>
      </w:rPr>
    </w:pPr>
    <w:r>
      <w:rPr>
        <w:noProof/>
        <w:lang w:eastAsia="pt-BR" w:bidi="ar-SA"/>
      </w:rPr>
      <w:drawing>
        <wp:inline distT="0" distB="0" distL="0" distR="0">
          <wp:extent cx="7565390" cy="1526540"/>
          <wp:effectExtent l="0" t="0" r="0" b="0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34" w:rsidRDefault="00185534">
      <w:pPr>
        <w:spacing w:after="0" w:line="240" w:lineRule="auto"/>
      </w:pPr>
      <w:r>
        <w:separator/>
      </w:r>
    </w:p>
  </w:footnote>
  <w:footnote w:type="continuationSeparator" w:id="0">
    <w:p w:rsidR="00185534" w:rsidRDefault="0018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BD" w:rsidRDefault="00185534">
    <w:pPr>
      <w:pStyle w:val="LO-normal"/>
      <w:tabs>
        <w:tab w:val="center" w:pos="4252"/>
        <w:tab w:val="right" w:pos="8504"/>
      </w:tabs>
      <w:spacing w:after="0" w:line="240" w:lineRule="auto"/>
      <w:ind w:left="-1275"/>
      <w:rPr>
        <w:color w:val="000000"/>
      </w:rPr>
    </w:pPr>
    <w:r>
      <w:rPr>
        <w:noProof/>
        <w:lang w:eastAsia="pt-BR" w:bidi="ar-SA"/>
      </w:rPr>
      <w:drawing>
        <wp:inline distT="0" distB="0" distL="0" distR="0">
          <wp:extent cx="7562215" cy="133604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D"/>
    <w:rsid w:val="00185534"/>
    <w:rsid w:val="00812ABD"/>
    <w:rsid w:val="00A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F741-BF1A-4652-BBB2-A16C692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pPr>
      <w:spacing w:after="200" w:line="276" w:lineRule="auto"/>
      <w:textAlignment w:val="top"/>
      <w:outlineLvl w:val="0"/>
    </w:pPr>
    <w:rPr>
      <w:lang w:eastAsia="en-US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pacing w:after="0" w:line="240" w:lineRule="auto"/>
      <w:textAlignment w:val="top"/>
      <w:outlineLvl w:val="0"/>
    </w:pPr>
    <w:rPr>
      <w:lang w:eastAsia="en-US" w:bidi="ar-SA"/>
    </w:rPr>
  </w:style>
  <w:style w:type="paragraph" w:styleId="Rodap">
    <w:name w:val="footer"/>
    <w:basedOn w:val="LO-normal"/>
    <w:qFormat/>
    <w:pPr>
      <w:tabs>
        <w:tab w:val="center" w:pos="4252"/>
        <w:tab w:val="right" w:pos="8504"/>
      </w:tabs>
      <w:spacing w:after="0" w:line="240" w:lineRule="auto"/>
      <w:textAlignment w:val="top"/>
      <w:outlineLvl w:val="0"/>
    </w:pPr>
    <w:rPr>
      <w:lang w:eastAsia="en-US" w:bidi="ar-SA"/>
    </w:rPr>
  </w:style>
  <w:style w:type="paragraph" w:styleId="Textodebalo">
    <w:name w:val="Balloon Text"/>
    <w:basedOn w:val="LO-normal"/>
    <w:qFormat/>
    <w:pPr>
      <w:spacing w:after="0" w:line="240" w:lineRule="auto"/>
      <w:textAlignment w:val="top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1">
    <w:name w:val="LO-normal1"/>
    <w:qFormat/>
    <w:pPr>
      <w:spacing w:after="200"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to56uyTCjHZojbfyiEVqEFKQRYQ==">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9423</Words>
  <Characters>50886</Characters>
  <Application>Microsoft Office Word</Application>
  <DocSecurity>0</DocSecurity>
  <Lines>424</Lines>
  <Paragraphs>120</Paragraphs>
  <ScaleCrop>false</ScaleCrop>
  <Company/>
  <LinksUpToDate>false</LinksUpToDate>
  <CharactersWithSpaces>60189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Conta da Microsoft</cp:lastModifiedBy>
  <cp:revision>23</cp:revision>
  <dcterms:created xsi:type="dcterms:W3CDTF">2021-10-27T17:27:00Z</dcterms:created>
  <dcterms:modified xsi:type="dcterms:W3CDTF">2022-08-20T05:06:00Z</dcterms:modified>
  <dc:language>pt-BR</dc:language>
</cp:coreProperties>
</file>