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6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COMPOSIÇÃO ANALÍTICA DA TAXA DE BONIFICAÇÃO E DESPESAS INDIRETAS (BDI)</w:t>
      </w:r>
    </w:p>
    <w:p w:rsidR="00000000" w:rsidDel="00000000" w:rsidP="00000000" w:rsidRDefault="00000000" w:rsidRPr="00000000" w14:paraId="00000003">
      <w:pPr>
        <w:spacing w:after="60" w:before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OBRA: RECOMPOSIÇÃO DO PAVIMENTO ASFÁLTICO - ROD. MUN. JOÃO BATISTA WENDHAUSEN MORAES, BAIRRO BANANAL, LAGUNA/SC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50"/>
        <w:gridCol w:w="3788"/>
        <w:gridCol w:w="4322"/>
        <w:tblGridChange w:id="0">
          <w:tblGrid>
            <w:gridCol w:w="550"/>
            <w:gridCol w:w="3788"/>
            <w:gridCol w:w="4322"/>
          </w:tblGrid>
        </w:tblGridChange>
      </w:tblGrid>
      <w:tr>
        <w:trPr>
          <w:cantSplit w:val="0"/>
          <w:tblHeader w:val="1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BDI 1</w:t>
            </w:r>
          </w:p>
        </w:tc>
      </w:tr>
      <w:tr>
        <w:trPr>
          <w:cantSplit w:val="0"/>
          <w:tblHeader w:val="1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Tipo de obra: Construção de Praças Urbanas, Rodovias, Ferrovias e recapeamento e pavimentação de vias urbanas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 </w:t>
              <w:tab/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DESPESAS INDIRETAS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7,16%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Administração Central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3,50%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Seguros + Garantia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1,00%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Riscos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1,27%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Despesas Financeiras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1,39%</w:t>
            </w:r>
          </w:p>
        </w:tc>
      </w:tr>
      <w:tr>
        <w:trPr>
          <w:cantSplit w:val="0"/>
          <w:trHeight w:val="76.9921875" w:hRule="atLeast"/>
          <w:tblHeader w:val="1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TRIBUTOS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8,65%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0,65%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Cofins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3,00%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rFonts w:ascii="Arial" w:cs="Arial" w:eastAsia="Arial" w:hAnsi="Arial"/>
                <w:b w:val="0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jc w:val="right"/>
              <w:rPr>
                <w:rFonts w:ascii="Arial" w:cs="Arial" w:eastAsia="Arial" w:hAnsi="Arial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7030a0"/>
                <w:sz w:val="24"/>
                <w:szCs w:val="24"/>
                <w:vertAlign w:val="baseline"/>
                <w:rtl w:val="0"/>
              </w:rPr>
              <w:t xml:space="preserve">5,00%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CPRB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LUCRO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5,27%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Lucro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5,27%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4.0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TAXA TOTAL BDI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23,58%</w:t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6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50"/>
        <w:gridCol w:w="3788"/>
        <w:gridCol w:w="4322"/>
        <w:tblGridChange w:id="0">
          <w:tblGrid>
            <w:gridCol w:w="550"/>
            <w:gridCol w:w="3788"/>
            <w:gridCol w:w="4322"/>
          </w:tblGrid>
        </w:tblGridChange>
      </w:tblGrid>
      <w:tr>
        <w:trPr>
          <w:cantSplit w:val="0"/>
          <w:tblHeader w:val="1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BDI 2</w:t>
            </w:r>
          </w:p>
        </w:tc>
      </w:tr>
      <w:tr>
        <w:trPr>
          <w:cantSplit w:val="0"/>
          <w:tblHeader w:val="1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Tipo de obra: Fornecimento de Materiais e Equipamentos (aquisição indireta - em conjunto com licitação de obras)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DESPESAS INDIRETAS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3,21%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Administração Central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1,50%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Seguros + Garantia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0,30%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Riscos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0,56%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Despesas Financeiras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0,85%</w:t>
            </w:r>
          </w:p>
        </w:tc>
      </w:tr>
      <w:tr>
        <w:trPr>
          <w:cantSplit w:val="0"/>
          <w:trHeight w:val="76.9921875" w:hRule="atLeast"/>
          <w:tblHeader w:val="1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TRIBUTOS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8,65%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0,65%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Cofins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3,00%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rPr>
                <w:rFonts w:ascii="Arial" w:cs="Arial" w:eastAsia="Arial" w:hAnsi="Arial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4"/>
                <w:szCs w:val="24"/>
                <w:rtl w:val="0"/>
              </w:rPr>
              <w:t xml:space="preserve">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jc w:val="right"/>
              <w:rPr>
                <w:rFonts w:ascii="Arial" w:cs="Arial" w:eastAsia="Arial" w:hAnsi="Arial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7030a0"/>
                <w:sz w:val="24"/>
                <w:szCs w:val="24"/>
                <w:rtl w:val="0"/>
              </w:rPr>
              <w:t xml:space="preserve">5,00%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CPRB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Lucro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3,00%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D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4.0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71">
            <w:pPr>
              <w:spacing w:after="60" w:before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TAXA TOTAL BDI</w:t>
            </w:r>
          </w:p>
        </w:tc>
        <w:tc>
          <w:tcPr>
            <w:shd w:fill="d9e2f3" w:val="clear"/>
            <w:vAlign w:val="top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16,40%</w:t>
            </w:r>
          </w:p>
        </w:tc>
      </w:tr>
    </w:tbl>
    <w:p w:rsidR="00000000" w:rsidDel="00000000" w:rsidP="00000000" w:rsidRDefault="00000000" w:rsidRPr="00000000" w14:paraId="00000073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Segundo Acórdão 2622/2013 do Tribunal de Contas da União – TCU, o cálculo do BDI deve ser feito com a seguinte equação: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/>
        <w:drawing>
          <wp:inline distB="0" distT="0" distL="114300" distR="114300">
            <wp:extent cx="3594100" cy="476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  =&gt;  Administração Central</w:t>
      </w:r>
    </w:p>
    <w:p w:rsidR="00000000" w:rsidDel="00000000" w:rsidP="00000000" w:rsidRDefault="00000000" w:rsidRPr="00000000" w14:paraId="00000077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      =&gt;  Seguro</w:t>
      </w:r>
    </w:p>
    <w:p w:rsidR="00000000" w:rsidDel="00000000" w:rsidP="00000000" w:rsidRDefault="00000000" w:rsidRPr="00000000" w14:paraId="00000078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     =&gt;  Riscos</w:t>
      </w:r>
    </w:p>
    <w:p w:rsidR="00000000" w:rsidDel="00000000" w:rsidP="00000000" w:rsidRDefault="00000000" w:rsidRPr="00000000" w14:paraId="00000079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    =&gt;  Garantia</w:t>
      </w:r>
    </w:p>
    <w:p w:rsidR="00000000" w:rsidDel="00000000" w:rsidP="00000000" w:rsidRDefault="00000000" w:rsidRPr="00000000" w14:paraId="0000007A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DF   =&gt;  Despesas Financeiras</w:t>
      </w:r>
    </w:p>
    <w:p w:rsidR="00000000" w:rsidDel="00000000" w:rsidP="00000000" w:rsidRDefault="00000000" w:rsidRPr="00000000" w14:paraId="0000007B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      =&gt;  Taxa de Lucro/Remuneração</w:t>
      </w:r>
    </w:p>
    <w:p w:rsidR="00000000" w:rsidDel="00000000" w:rsidP="00000000" w:rsidRDefault="00000000" w:rsidRPr="00000000" w14:paraId="0000007C">
      <w:pPr>
        <w:spacing w:after="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     =&gt;  Incidência de Impostos (PIS, COFINS e 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4"/>
          <w:szCs w:val="24"/>
          <w:rtl w:val="0"/>
        </w:rPr>
        <w:t xml:space="preserve">ISS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CPRB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543165" cy="151257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165" cy="1512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spacing w:after="0" w:line="240" w:lineRule="auto"/>
      <w:ind w:left="-1695" w:right="1672" w:hanging="15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7560000" cy="1376308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3298" r="3298" t="0"/>
                  <a:stretch>
                    <a:fillRect/>
                  </a:stretch>
                </pic:blipFill>
                <pic:spPr>
                  <a:xfrm>
                    <a:off x="0" y="0"/>
                    <a:ext cx="7560000" cy="1376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